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/>
      </w:pPr>
      <w:r>
        <w:rPr/>
        <w:t>Terry Brown and Jane Wilkerson</w:t>
      </w:r>
    </w:p>
    <w:p>
      <w:pPr>
        <w:pStyle w:val="Normal"/>
        <w:bidi w:val="0"/>
        <w:jc w:val="start"/>
        <w:rPr/>
      </w:pPr>
      <w:r>
        <w:rPr/>
        <w:t>718 Montgomery Rd</w:t>
      </w:r>
    </w:p>
    <w:p>
      <w:pPr>
        <w:pStyle w:val="Normal"/>
        <w:bidi w:val="0"/>
        <w:jc w:val="start"/>
        <w:rPr/>
      </w:pPr>
      <w:r>
        <w:rPr/>
        <w:t>Pownal, VT 05261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Vermont Public Utility Commission</w:t>
      </w:r>
    </w:p>
    <w:p>
      <w:pPr>
        <w:pStyle w:val="Normal"/>
        <w:bidi w:val="0"/>
        <w:jc w:val="start"/>
        <w:rPr/>
      </w:pPr>
      <w:r>
        <w:rPr/>
        <w:t>112 State Street</w:t>
      </w:r>
    </w:p>
    <w:p>
      <w:pPr>
        <w:pStyle w:val="Normal"/>
        <w:bidi w:val="0"/>
        <w:jc w:val="start"/>
        <w:rPr/>
      </w:pPr>
      <w:r>
        <w:rPr/>
        <w:t>Montpelier, Vermont 05620</w:t>
      </w:r>
    </w:p>
    <w:p>
      <w:pPr>
        <w:pStyle w:val="Normal"/>
        <w:bidi w:val="0"/>
        <w:jc w:val="start"/>
        <w:rPr/>
      </w:pPr>
      <w:r>
        <w:rPr/>
        <w:t>Re: Petition of Rising Tide Towers II, LLC and Wireless Partners FN, LLC</w:t>
      </w:r>
    </w:p>
    <w:p>
      <w:pPr>
        <w:pStyle w:val="Normal"/>
        <w:bidi w:val="0"/>
        <w:jc w:val="start"/>
        <w:rPr/>
      </w:pPr>
      <w:r>
        <w:rPr/>
        <w:t>Petition for a Certificate of Public Good, pursuant to 30</w:t>
      </w:r>
    </w:p>
    <w:p>
      <w:pPr>
        <w:pStyle w:val="Normal"/>
        <w:bidi w:val="0"/>
        <w:jc w:val="start"/>
        <w:rPr/>
      </w:pPr>
      <w:r>
        <w:rPr/>
        <w:t>V.S.A. § 248a authorizing the construction of a wireless telecommunications facility in</w:t>
      </w:r>
    </w:p>
    <w:p>
      <w:pPr>
        <w:pStyle w:val="Normal"/>
        <w:bidi w:val="0"/>
        <w:jc w:val="start"/>
        <w:rPr/>
      </w:pPr>
      <w:r>
        <w:rPr/>
        <w:t>Pownal, Vermont</w:t>
      </w:r>
    </w:p>
    <w:p>
      <w:pPr>
        <w:pStyle w:val="Normal"/>
        <w:bidi w:val="0"/>
        <w:jc w:val="start"/>
        <w:rPr/>
      </w:pPr>
      <w:r>
        <w:rPr/>
        <w:t>Case No. 25-0257-PET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Response to Response to Motion to Intervene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Petitioner argues the following </w:t>
      </w:r>
      <w:r>
        <w:rPr/>
        <w:t>in opposition to our Motion to Intervene</w:t>
      </w:r>
      <w:r>
        <w:rPr/>
        <w:t>: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(1) Intervenors’ Motion was not timely submitted;</w:t>
      </w:r>
    </w:p>
    <w:p>
      <w:pPr>
        <w:pStyle w:val="Normal"/>
        <w:bidi w:val="0"/>
        <w:jc w:val="start"/>
        <w:rPr/>
      </w:pPr>
      <w:r>
        <w:rPr/>
        <w:t>(2) Intervenors’ Motion has failed to state a basis for intervention as required by Public Utility</w:t>
      </w:r>
    </w:p>
    <w:p>
      <w:pPr>
        <w:pStyle w:val="Normal"/>
        <w:bidi w:val="0"/>
        <w:jc w:val="start"/>
        <w:rPr/>
      </w:pPr>
      <w:r>
        <w:rPr/>
        <w:t xml:space="preserve">Commission (“PUC”) rules; and </w:t>
      </w:r>
    </w:p>
    <w:p>
      <w:pPr>
        <w:pStyle w:val="Normal"/>
        <w:bidi w:val="0"/>
        <w:jc w:val="start"/>
        <w:rPr/>
      </w:pPr>
      <w:r>
        <w:rPr/>
        <w:t xml:space="preserve">(3) Intervenors have provided no proof of their property ownership, and public information regarding the property conflicts with Intervenors’ alleged title to the parcel in question. 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We reply as follows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Regarding objection 1: </w:t>
      </w:r>
      <w:r>
        <w:rPr/>
        <w:t xml:space="preserve"> </w:t>
      </w:r>
      <w:r>
        <w:rPr/>
        <w:t xml:space="preserve">The reason Petitioner is required to provide notice to adjacent landowners is specifically to allow those landowners the opportunity for timely replies and/or to file relevant motions. </w:t>
      </w:r>
      <w:r>
        <w:rPr/>
        <w:t xml:space="preserve">Without such notice, it is unreasonable to expect timeliness. 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2. Our basis for intervention is that we are adjacent landowners </w:t>
      </w:r>
      <w:r>
        <w:rPr/>
        <w:t xml:space="preserve">and that the rights we have in that capacity were denied due to lack  </w:t>
      </w:r>
      <w:r>
        <w:rPr/>
        <w:t xml:space="preserve">of </w:t>
      </w:r>
      <w:r>
        <w:rPr/>
        <w:t xml:space="preserve">timely notice. 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In their Motion to Dismiss, Tanya and Jesse Hart quote the Public Utility Commission’s January 18, 2023 Order Adopting Revised Standards and Procedures </w:t>
      </w:r>
      <w:r>
        <w:rPr/>
        <w:t xml:space="preserve">Implementing 30 VSA §248a, Case No. 22-5122-INV, at p. 5, </w:t>
      </w:r>
      <w:r>
        <w:rPr/>
        <w:t>in</w:t>
      </w:r>
      <w:r>
        <w:rPr/>
        <w:t xml:space="preserve"> response to a comment by AT&amp;T.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“</w:t>
      </w:r>
      <w:r>
        <w:rPr/>
        <w:t>All municipalities maintain current records of all property transfers within their</w:t>
      </w:r>
    </w:p>
    <w:p>
      <w:pPr>
        <w:pStyle w:val="Normal"/>
        <w:bidi w:val="0"/>
        <w:jc w:val="start"/>
        <w:rPr/>
      </w:pPr>
      <w:r>
        <w:rPr/>
        <w:t>limits. If AT&amp;T relies on a grand list or other online database to identify adjoining</w:t>
      </w:r>
    </w:p>
    <w:p>
      <w:pPr>
        <w:pStyle w:val="Normal"/>
        <w:bidi w:val="0"/>
        <w:jc w:val="start"/>
        <w:rPr/>
      </w:pPr>
      <w:r>
        <w:rPr/>
        <w:t>landowners, and is informed that the database it used is in need of or undergoing</w:t>
      </w:r>
    </w:p>
    <w:p>
      <w:pPr>
        <w:pStyle w:val="Normal"/>
        <w:bidi w:val="0"/>
        <w:jc w:val="start"/>
        <w:rPr/>
      </w:pPr>
      <w:r>
        <w:rPr/>
        <w:t>an update, AT&amp;T is on notice that it is relying on adjoining landowner</w:t>
      </w:r>
    </w:p>
    <w:p>
      <w:pPr>
        <w:pStyle w:val="Normal"/>
        <w:bidi w:val="0"/>
        <w:jc w:val="start"/>
        <w:rPr/>
      </w:pPr>
      <w:r>
        <w:rPr/>
        <w:t>information that is potentially inaccurate. In that case, it is incumbent on AT&amp;T</w:t>
      </w:r>
    </w:p>
    <w:p>
      <w:pPr>
        <w:pStyle w:val="Normal"/>
        <w:bidi w:val="0"/>
        <w:jc w:val="start"/>
        <w:rPr/>
      </w:pPr>
      <w:r>
        <w:rPr/>
        <w:t>to consult with the clerk of the municipality to determine whether any</w:t>
      </w:r>
    </w:p>
    <w:p>
      <w:pPr>
        <w:pStyle w:val="Normal"/>
        <w:bidi w:val="0"/>
        <w:jc w:val="start"/>
        <w:rPr/>
      </w:pPr>
      <w:r>
        <w:rPr/>
        <w:t>affected properties have been subject to a transfer that is not reflected in the</w:t>
      </w:r>
    </w:p>
    <w:p>
      <w:pPr>
        <w:pStyle w:val="Normal"/>
        <w:bidi w:val="0"/>
        <w:jc w:val="start"/>
        <w:rPr/>
      </w:pPr>
      <w:r>
        <w:rPr/>
        <w:t>database it used, and if so, to accurately reflect that current information in</w:t>
      </w:r>
    </w:p>
    <w:p>
      <w:pPr>
        <w:pStyle w:val="Normal"/>
        <w:bidi w:val="0"/>
        <w:jc w:val="start"/>
        <w:rPr/>
      </w:pPr>
      <w:r>
        <w:rPr/>
        <w:t>its application. This is a simple inquiry that places no undue burden on AT&amp;T or</w:t>
      </w:r>
    </w:p>
    <w:p>
      <w:pPr>
        <w:pStyle w:val="Normal"/>
        <w:bidi w:val="0"/>
        <w:jc w:val="start"/>
        <w:rPr/>
      </w:pPr>
      <w:r>
        <w:rPr/>
        <w:t>any other applicant.”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For their Second Amended Petition, Petitioner did send notice to Jane Wilkerson’s previous address in Nashville, Tennessee, demonstrating that they did have access to </w:t>
      </w:r>
      <w:r>
        <w:rPr/>
        <w:t xml:space="preserve">accurate address </w:t>
      </w:r>
      <w:r>
        <w:rPr/>
        <w:t xml:space="preserve">information </w:t>
      </w:r>
      <w:r>
        <w:rPr/>
        <w:t>regarding the ownership of 718 Montgomery Rd</w:t>
      </w:r>
      <w:r>
        <w:rPr/>
        <w:t xml:space="preserve">. Had Petitioner’s previous notices been sent to that same address, those notices would have been forwarded to us and likely arrived timely. We would also suggest that </w:t>
      </w:r>
      <w:r>
        <w:rPr/>
        <w:t>due diligence would</w:t>
      </w:r>
      <w:r>
        <w:rPr/>
        <w:t xml:space="preserve"> include providing notices directly to the adjoining address itself, in this case 718 Montgomery Rd, given that Grand List information is often out of date. </w:t>
      </w:r>
      <w:r>
        <w:rPr/>
        <w:t xml:space="preserve">It is not particularly unusual for </w:t>
      </w:r>
      <w:r>
        <w:rPr/>
        <w:t>an owner of a house to live in the house they own.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3. </w:t>
      </w:r>
      <w:r>
        <w:rPr/>
        <w:t xml:space="preserve">Counsel for the Petitioner relates in the Clarification of Brown/Wilkerson Participation that petitioner accepts that we own the property, </w:t>
      </w:r>
      <w:r>
        <w:rPr/>
        <w:t xml:space="preserve">so this objection is no longer relevant. 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We, therefore, respectfully request this Motion to Intervene be approved by the Commission </w:t>
      </w:r>
      <w:r>
        <w:rPr/>
        <w:t xml:space="preserve">so that we are afforded all of the rights and avenues of participation </w:t>
      </w:r>
      <w:r>
        <w:rPr/>
        <w:t xml:space="preserve">to which </w:t>
      </w:r>
      <w:r>
        <w:rPr/>
        <w:t>adjacent landowners are entitled.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We specifically would like to  request a new balloon test as we did not receive notice of the first test and the location has shifted from the original proposed site. </w:t>
      </w:r>
      <w:r>
        <w:rPr/>
        <w:t>We have no way of determining what impact this tower will have on our property without this test.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>
          <w:i w:val="false"/>
          <w:i w:val="false"/>
          <w:iCs w:val="false"/>
        </w:rPr>
      </w:pPr>
      <w:r>
        <w:rPr>
          <w:i w:val="false"/>
          <w:iCs w:val="false"/>
        </w:rPr>
        <w:t xml:space="preserve">Sincerely, </w:t>
      </w:r>
    </w:p>
    <w:p>
      <w:pPr>
        <w:pStyle w:val="Normal"/>
        <w:bidi w:val="0"/>
        <w:jc w:val="start"/>
        <w:rPr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"/>
        <w:bidi w:val="0"/>
        <w:jc w:val="start"/>
        <w:rPr>
          <w:i w:val="false"/>
          <w:i w:val="false"/>
          <w:iCs w:val="false"/>
        </w:rPr>
      </w:pPr>
      <w:r>
        <w:rPr>
          <w:i w:val="false"/>
          <w:iCs w:val="false"/>
        </w:rPr>
        <w:t>Terry Brown</w:t>
      </w:r>
    </w:p>
    <w:p>
      <w:pPr>
        <w:pStyle w:val="Normal"/>
        <w:bidi w:val="0"/>
        <w:jc w:val="start"/>
        <w:rPr>
          <w:i w:val="false"/>
          <w:i w:val="false"/>
          <w:iCs w:val="false"/>
        </w:rPr>
      </w:pPr>
      <w:r>
        <w:rPr>
          <w:i w:val="false"/>
          <w:iCs w:val="false"/>
        </w:rPr>
        <w:t>Jane Wilkerson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</w:fonts>
</file>

<file path=word/settings.xml><?xml version="1.0" encoding="utf-8"?>
<w:settings xmlns:w="http://schemas.openxmlformats.org/wordprocessingml/2006/main">
  <w:zoom w:percent="20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kern w:val="2"/>
        <w:sz w:val="24"/>
        <w:szCs w:val="24"/>
        <w:lang w:val="en-U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oto Serif CJK SC" w:cs="Noto Sans Devanagari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39</TotalTime>
  <Application>LibreOffice/25.2.5.2$Linux_X86_64 LibreOffice_project/520$Build-2</Application>
  <AppVersion>15.0000</AppVersion>
  <Pages>2</Pages>
  <Words>620</Words>
  <Characters>3265</Characters>
  <CharactersWithSpaces>3856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2025-09-02T11:12:38Z</dcterms:created>
  <dc:creator/>
  <dc:description/>
  <dc:language>en-US</dc:language>
  <cp:lastModifiedBy/>
  <dcterms:modified xsi:type="dcterms:W3CDTF">2025-09-03T16:09:33Z</dcterms:modified>
  <cp:revision>4</cp:revision>
  <dc:subject/>
  <dc:title/>
</cp:coreProperties>
</file>