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EC9419" w14:textId="53B86430" w:rsidR="004B786F" w:rsidRDefault="004B786F" w:rsidP="00D423F8">
      <w:pPr>
        <w:spacing w:after="0"/>
        <w:jc w:val="center"/>
        <w:rPr>
          <w:b/>
          <w:bCs/>
          <w:sz w:val="28"/>
          <w:szCs w:val="28"/>
        </w:rPr>
      </w:pPr>
      <w:r>
        <w:rPr>
          <w:b/>
          <w:bCs/>
          <w:sz w:val="28"/>
          <w:szCs w:val="28"/>
        </w:rPr>
        <w:t>Ken Jones</w:t>
      </w:r>
      <w:r w:rsidR="00F85ACA">
        <w:rPr>
          <w:rStyle w:val="FootnoteReference"/>
          <w:b/>
          <w:bCs/>
          <w:sz w:val="28"/>
          <w:szCs w:val="28"/>
        </w:rPr>
        <w:footnoteReference w:id="1"/>
      </w:r>
      <w:r>
        <w:rPr>
          <w:b/>
          <w:bCs/>
          <w:sz w:val="28"/>
          <w:szCs w:val="28"/>
        </w:rPr>
        <w:t xml:space="preserve"> Response to PUC </w:t>
      </w:r>
      <w:proofErr w:type="spellStart"/>
      <w:r>
        <w:rPr>
          <w:b/>
          <w:bCs/>
          <w:sz w:val="28"/>
          <w:szCs w:val="28"/>
        </w:rPr>
        <w:t>RfI</w:t>
      </w:r>
      <w:proofErr w:type="spellEnd"/>
      <w:r>
        <w:rPr>
          <w:b/>
          <w:bCs/>
          <w:sz w:val="28"/>
          <w:szCs w:val="28"/>
        </w:rPr>
        <w:t xml:space="preserve"> of September 4, 2024</w:t>
      </w:r>
    </w:p>
    <w:p w14:paraId="62C59F42" w14:textId="45384709" w:rsidR="004B786F" w:rsidRDefault="004B786F" w:rsidP="004B786F">
      <w:pPr>
        <w:jc w:val="center"/>
        <w:rPr>
          <w:b/>
          <w:bCs/>
          <w:sz w:val="28"/>
          <w:szCs w:val="28"/>
        </w:rPr>
      </w:pPr>
      <w:r>
        <w:rPr>
          <w:b/>
          <w:bCs/>
          <w:sz w:val="28"/>
          <w:szCs w:val="28"/>
        </w:rPr>
        <w:t>Case No. 23-2221</w:t>
      </w:r>
    </w:p>
    <w:p w14:paraId="687A9472" w14:textId="18316483" w:rsidR="004B786F" w:rsidRDefault="004B786F" w:rsidP="004B786F">
      <w:r>
        <w:t>The Default Delivery Agent (DDA) plays a key role in the successful implementation of Act 18. The law requires that businesses selling fossil fuel for heating – “</w:t>
      </w:r>
      <w:r w:rsidR="00D423F8">
        <w:t>O</w:t>
      </w:r>
      <w:r>
        <w:t xml:space="preserve">bligated </w:t>
      </w:r>
      <w:r w:rsidR="00D423F8">
        <w:t>P</w:t>
      </w:r>
      <w:r>
        <w:t>arties” procure credits corresponding to the volume of sales of fossil fuels. The default for procuring those credits is the DDA.</w:t>
      </w:r>
    </w:p>
    <w:p w14:paraId="2302A7EE" w14:textId="263ED646" w:rsidR="004B786F" w:rsidRDefault="004B786F" w:rsidP="004B786F">
      <w:proofErr w:type="gramStart"/>
      <w:r>
        <w:t>In order to</w:t>
      </w:r>
      <w:proofErr w:type="gramEnd"/>
      <w:r>
        <w:t xml:space="preserve"> carry out its functions, a DDA </w:t>
      </w:r>
      <w:r w:rsidR="00E74325">
        <w:t>must have</w:t>
      </w:r>
      <w:r>
        <w:t xml:space="preserve"> or acquire the following knowledge:</w:t>
      </w:r>
    </w:p>
    <w:p w14:paraId="32EB1738" w14:textId="0A1157D9" w:rsidR="004B786F" w:rsidRDefault="004B786F" w:rsidP="00E74325">
      <w:pPr>
        <w:pStyle w:val="ListParagraph"/>
        <w:numPr>
          <w:ilvl w:val="0"/>
          <w:numId w:val="3"/>
        </w:numPr>
      </w:pPr>
      <w:r>
        <w:t>Strategies to implement one or more of the clean heat measures identified in Act 18 and the PUC proceedings 23-2220. These strategies include supply chain requirements, workforce availability, quality control and administrative record keeping.</w:t>
      </w:r>
    </w:p>
    <w:p w14:paraId="514091C1" w14:textId="6C4A1D0D" w:rsidR="004B786F" w:rsidRDefault="004B786F" w:rsidP="00E74325">
      <w:pPr>
        <w:pStyle w:val="ListParagraph"/>
        <w:numPr>
          <w:ilvl w:val="0"/>
          <w:numId w:val="3"/>
        </w:numPr>
      </w:pPr>
      <w:r>
        <w:t xml:space="preserve">Understanding the market of potential building owners that would be customers for installed clean heat measures to estimate the potential for each measure depending on </w:t>
      </w:r>
      <w:proofErr w:type="gramStart"/>
      <w:r>
        <w:t>particular price</w:t>
      </w:r>
      <w:proofErr w:type="gramEnd"/>
      <w:r>
        <w:t xml:space="preserve"> points.</w:t>
      </w:r>
      <w:r>
        <w:rPr>
          <w:rStyle w:val="FootnoteReference"/>
        </w:rPr>
        <w:footnoteReference w:id="2"/>
      </w:r>
    </w:p>
    <w:p w14:paraId="15EB35D1" w14:textId="7273FC24" w:rsidR="004B786F" w:rsidRDefault="004B786F" w:rsidP="00E74325">
      <w:pPr>
        <w:pStyle w:val="ListParagraph"/>
        <w:numPr>
          <w:ilvl w:val="0"/>
          <w:numId w:val="3"/>
        </w:numPr>
      </w:pPr>
      <w:r>
        <w:t xml:space="preserve">A financial model that ensures adequate cash flow </w:t>
      </w:r>
      <w:r w:rsidR="003C4AB6">
        <w:t xml:space="preserve">to implement </w:t>
      </w:r>
      <w:proofErr w:type="gramStart"/>
      <w:r w:rsidR="003C4AB6">
        <w:t>clean heat</w:t>
      </w:r>
      <w:proofErr w:type="gramEnd"/>
      <w:r w:rsidR="003C4AB6">
        <w:t xml:space="preserve"> measures prior to compensation from obligated party payments.</w:t>
      </w:r>
    </w:p>
    <w:p w14:paraId="2BEA1F76" w14:textId="717200C1" w:rsidR="003C4AB6" w:rsidRDefault="003C4AB6" w:rsidP="00E74325">
      <w:pPr>
        <w:pStyle w:val="ListParagraph"/>
        <w:numPr>
          <w:ilvl w:val="0"/>
          <w:numId w:val="3"/>
        </w:numPr>
      </w:pPr>
      <w:r>
        <w:t>Estimating the magnitude of program delivery to meet the demand of obligated parties</w:t>
      </w:r>
    </w:p>
    <w:p w14:paraId="6DC3FDD8" w14:textId="77259A04" w:rsidR="003C4AB6" w:rsidRDefault="003C4AB6" w:rsidP="00E74325">
      <w:pPr>
        <w:pStyle w:val="ListParagraph"/>
        <w:numPr>
          <w:ilvl w:val="0"/>
          <w:numId w:val="3"/>
        </w:numPr>
      </w:pPr>
      <w:r>
        <w:t xml:space="preserve">Understanding the competitive </w:t>
      </w:r>
      <w:proofErr w:type="gramStart"/>
      <w:r>
        <w:t xml:space="preserve">market </w:t>
      </w:r>
      <w:r w:rsidR="00BD7928">
        <w:t>place</w:t>
      </w:r>
      <w:proofErr w:type="gramEnd"/>
      <w:r w:rsidR="00BD7928">
        <w:t xml:space="preserve"> where</w:t>
      </w:r>
      <w:r>
        <w:t xml:space="preserve"> other businesses</w:t>
      </w:r>
      <w:r w:rsidR="00E74325">
        <w:t xml:space="preserve"> develop clean heat measures</w:t>
      </w:r>
      <w:r>
        <w:t xml:space="preserve"> including</w:t>
      </w:r>
      <w:r w:rsidR="00E74325">
        <w:t xml:space="preserve">; </w:t>
      </w:r>
      <w:r>
        <w:t>obligated parties, electric distribution utilities participating in Renewable Energy Standard Tier III activities</w:t>
      </w:r>
      <w:r w:rsidR="00E74325">
        <w:t>,</w:t>
      </w:r>
      <w:r>
        <w:t xml:space="preserve"> and government program supported </w:t>
      </w:r>
      <w:r w:rsidR="00BD7928">
        <w:t>c</w:t>
      </w:r>
      <w:r>
        <w:t xml:space="preserve">lean </w:t>
      </w:r>
      <w:r w:rsidR="00BD7928">
        <w:t>h</w:t>
      </w:r>
      <w:r>
        <w:t>eat measure installations outside of Act 18 program requirements.</w:t>
      </w:r>
    </w:p>
    <w:p w14:paraId="200A3D39" w14:textId="77777777" w:rsidR="003C4AB6" w:rsidRDefault="003C4AB6" w:rsidP="004B786F"/>
    <w:p w14:paraId="56C9BCF0" w14:textId="44617E8F" w:rsidR="003C4AB6" w:rsidRDefault="003C4AB6" w:rsidP="004B786F">
      <w:r>
        <w:t xml:space="preserve">It is possible, and scant responses to the 23-2221 </w:t>
      </w:r>
      <w:proofErr w:type="spellStart"/>
      <w:r>
        <w:t>RfI</w:t>
      </w:r>
      <w:proofErr w:type="spellEnd"/>
      <w:r>
        <w:t xml:space="preserve"> may be evidence that the sum total </w:t>
      </w:r>
      <w:proofErr w:type="gramStart"/>
      <w:r>
        <w:t>of  required</w:t>
      </w:r>
      <w:proofErr w:type="gramEnd"/>
      <w:r>
        <w:t xml:space="preserve"> knowledge is simply too daunting to consider participation as a DDA. In fact, most of the knowledge is not currently available and speculation on one or more of those topics introduces a significant risk of failure for any potential DDA.</w:t>
      </w:r>
    </w:p>
    <w:p w14:paraId="66088F7E" w14:textId="31E2267E" w:rsidR="003C4AB6" w:rsidRDefault="003C4AB6" w:rsidP="004B786F">
      <w:r>
        <w:t xml:space="preserve">Furthermore, </w:t>
      </w:r>
      <w:proofErr w:type="gramStart"/>
      <w:r>
        <w:t>Act</w:t>
      </w:r>
      <w:proofErr w:type="gramEnd"/>
      <w:r>
        <w:t xml:space="preserve"> 18 statutory parameters and recent decisions by the PUC include procedural requirements that make the actual practice of the DDA responsibilities difficult </w:t>
      </w:r>
      <w:r>
        <w:lastRenderedPageBreak/>
        <w:t>if not impossible. Considering the timeline of actions consistent with a 2026 obligation year highlights these difficulties.</w:t>
      </w:r>
    </w:p>
    <w:p w14:paraId="258CA366" w14:textId="220503D6" w:rsidR="003C4AB6" w:rsidRDefault="003C4AB6" w:rsidP="004B786F">
      <w:r>
        <w:t>The PUC has determined that some activities will not take place until the Legislature agrees to the submitted rules and the Governor signs the resulting legislation</w:t>
      </w:r>
      <w:r w:rsidR="00A235E4">
        <w:t>:</w:t>
      </w:r>
      <w:r>
        <w:t xml:space="preserve"> </w:t>
      </w:r>
    </w:p>
    <w:p w14:paraId="54CAC655" w14:textId="13DF7DD5" w:rsidR="003C4AB6" w:rsidRDefault="003C4AB6" w:rsidP="003C4AB6">
      <w:pPr>
        <w:pStyle w:val="ListParagraph"/>
        <w:numPr>
          <w:ilvl w:val="0"/>
          <w:numId w:val="1"/>
        </w:numPr>
      </w:pPr>
      <w:r>
        <w:t xml:space="preserve">The </w:t>
      </w:r>
      <w:proofErr w:type="spellStart"/>
      <w:r>
        <w:t>RfP</w:t>
      </w:r>
      <w:proofErr w:type="spellEnd"/>
      <w:r>
        <w:t xml:space="preserve"> to seek proposals for one or more DDAs</w:t>
      </w:r>
    </w:p>
    <w:p w14:paraId="7AB25F06" w14:textId="047F179E" w:rsidR="003C4AB6" w:rsidRDefault="003C4AB6" w:rsidP="003C4AB6">
      <w:pPr>
        <w:pStyle w:val="ListParagraph"/>
        <w:numPr>
          <w:ilvl w:val="0"/>
          <w:numId w:val="1"/>
        </w:numPr>
      </w:pPr>
      <w:r>
        <w:t>The registration process to identify the number of early action credits that will be available for obligated parties in the first (and subsequent) obligation periods.</w:t>
      </w:r>
    </w:p>
    <w:p w14:paraId="1699E55C" w14:textId="5A741512" w:rsidR="003C4AB6" w:rsidRDefault="00D423F8" w:rsidP="003C4AB6">
      <w:r>
        <w:t>F</w:t>
      </w:r>
      <w:r w:rsidR="003C4AB6">
        <w:t xml:space="preserve">ollowing the DDA </w:t>
      </w:r>
      <w:proofErr w:type="spellStart"/>
      <w:r w:rsidR="003C4AB6">
        <w:t>RfP</w:t>
      </w:r>
      <w:proofErr w:type="spellEnd"/>
      <w:r w:rsidR="003C4AB6">
        <w:t xml:space="preserve"> decision process through 2025 </w:t>
      </w:r>
      <w:r w:rsidR="00455DA4">
        <w:t>highlights the challenge of a 2026 obligation year.</w:t>
      </w:r>
    </w:p>
    <w:p w14:paraId="4C6C5FE4" w14:textId="592BA135" w:rsidR="00455DA4" w:rsidRDefault="00455DA4" w:rsidP="003C4AB6">
      <w:proofErr w:type="gramStart"/>
      <w:r>
        <w:t>VEIC</w:t>
      </w:r>
      <w:proofErr w:type="gramEnd"/>
      <w:r>
        <w:t xml:space="preserve"> in its questions to the PUC for this case, note that the experience with Efficiency Vermont and its agreement with the PUC suggests that a </w:t>
      </w:r>
      <w:proofErr w:type="gramStart"/>
      <w:r>
        <w:t>7-9 month</w:t>
      </w:r>
      <w:proofErr w:type="gramEnd"/>
      <w:r>
        <w:t xml:space="preserve"> period may be necessary to submit a proposal and receive Commission approval for a DDA budget.</w:t>
      </w:r>
      <w:r w:rsidR="001F4805">
        <w:t xml:space="preserve"> Current legislation requires a DDA budget approval by September 1, </w:t>
      </w:r>
      <w:proofErr w:type="gramStart"/>
      <w:r w:rsidR="001F4805">
        <w:t>2025</w:t>
      </w:r>
      <w:proofErr w:type="gramEnd"/>
      <w:r w:rsidR="001F4805">
        <w:t xml:space="preserve"> which is</w:t>
      </w:r>
      <w:r w:rsidR="00D423F8">
        <w:t>,</w:t>
      </w:r>
      <w:r w:rsidR="001F4805">
        <w:t xml:space="preserve"> at most</w:t>
      </w:r>
      <w:r w:rsidR="00D423F8">
        <w:t>,</w:t>
      </w:r>
      <w:r w:rsidR="001F4805">
        <w:t xml:space="preserve"> 5 months after </w:t>
      </w:r>
      <w:proofErr w:type="spellStart"/>
      <w:r w:rsidR="001F4805">
        <w:t>RfP</w:t>
      </w:r>
      <w:proofErr w:type="spellEnd"/>
      <w:r w:rsidR="001F4805">
        <w:t xml:space="preserve"> release and the first DDA </w:t>
      </w:r>
      <w:r w:rsidR="00BD7928">
        <w:t xml:space="preserve">selection </w:t>
      </w:r>
      <w:r w:rsidR="001F4805">
        <w:t xml:space="preserve">will </w:t>
      </w:r>
      <w:r w:rsidR="00D423F8">
        <w:t>need a</w:t>
      </w:r>
      <w:r w:rsidR="00BD7928">
        <w:t>n engagement</w:t>
      </w:r>
      <w:r w:rsidR="001F4805">
        <w:t xml:space="preserve"> process in addition to the time necessary for budget development and approval</w:t>
      </w:r>
      <w:r w:rsidR="00BD7928">
        <w:t>.</w:t>
      </w:r>
      <w:r>
        <w:t xml:space="preserve"> Short circuiting that process will necessarily restrict any public review of the plan and have </w:t>
      </w:r>
      <w:r w:rsidR="00176F5D">
        <w:t>adverse effects</w:t>
      </w:r>
      <w:r>
        <w:t xml:space="preserve"> on relevant parties including installers, </w:t>
      </w:r>
      <w:r w:rsidR="00D423F8">
        <w:t>O</w:t>
      </w:r>
      <w:r>
        <w:t xml:space="preserve">bligated </w:t>
      </w:r>
      <w:r w:rsidR="00D423F8">
        <w:t>P</w:t>
      </w:r>
      <w:r>
        <w:t>arties and equity advocates.</w:t>
      </w:r>
    </w:p>
    <w:p w14:paraId="32E11A19" w14:textId="6CB57A0F" w:rsidR="00455DA4" w:rsidRDefault="00455DA4" w:rsidP="003C4AB6">
      <w:r>
        <w:t>The schedule is complicated even further by the statutory requirement that the Obligated Parties have 90 days from the date of the approved plan and budget to submit their own</w:t>
      </w:r>
      <w:r w:rsidR="001F4805">
        <w:t xml:space="preserve"> plans for procuring credits </w:t>
      </w:r>
      <w:r w:rsidR="001F4805">
        <w:rPr>
          <w:u w:val="single"/>
        </w:rPr>
        <w:t>not</w:t>
      </w:r>
      <w:r w:rsidR="001F4805">
        <w:t xml:space="preserve"> through the DDA. The results of the Obligated Party plans will have an important impact on the work and revenue flow for the DDA. The potential for Obligated Parties to sell lower carbon, liquid and gaseous biofuels is a very real </w:t>
      </w:r>
      <w:r w:rsidR="00BD7928">
        <w:t xml:space="preserve">possibility </w:t>
      </w:r>
      <w:r w:rsidR="00E74E2F">
        <w:t>that will reduce the number of credits necessary for DDA development</w:t>
      </w:r>
      <w:r w:rsidR="001F4805">
        <w:t xml:space="preserve"> and adds risk to DDA </w:t>
      </w:r>
      <w:r w:rsidR="00E74E2F">
        <w:t>revenues</w:t>
      </w:r>
      <w:r w:rsidR="001F4805">
        <w:t>.</w:t>
      </w:r>
    </w:p>
    <w:p w14:paraId="2011D274" w14:textId="510D6CB5" w:rsidR="00E74E2F" w:rsidRDefault="00E74E2F" w:rsidP="003C4AB6">
      <w:r>
        <w:t xml:space="preserve">The 11/1/2024 PUC rule on credit retirement schedule determination adds an additional timing requirement that runs afoul of the DDA/Obligated Party planning. The PUC determination of 2026 Obligated Party requirements is based on the 2025 sales of heating fuels. </w:t>
      </w:r>
      <w:r w:rsidR="00D25B54">
        <w:t xml:space="preserve">(I include some of the language in the rule at the end of this submission to show its complexity.) </w:t>
      </w:r>
      <w:r>
        <w:t xml:space="preserve">This data is </w:t>
      </w:r>
      <w:r w:rsidR="00E74325">
        <w:t>not available until</w:t>
      </w:r>
      <w:r>
        <w:t xml:space="preserve"> 2026. Total </w:t>
      </w:r>
      <w:r w:rsidR="00D423F8">
        <w:t xml:space="preserve">2025 </w:t>
      </w:r>
      <w:r>
        <w:t>heating fuel sales data is available in February</w:t>
      </w:r>
      <w:r w:rsidR="00D423F8">
        <w:t xml:space="preserve"> of 2026</w:t>
      </w:r>
      <w:r>
        <w:t xml:space="preserve"> (via Tax Department reporting) and the sales from each </w:t>
      </w:r>
      <w:r w:rsidR="00D423F8">
        <w:t>O</w:t>
      </w:r>
      <w:r>
        <w:t xml:space="preserve">bligated </w:t>
      </w:r>
      <w:r w:rsidR="00D423F8">
        <w:t>P</w:t>
      </w:r>
      <w:r>
        <w:t xml:space="preserve">arty are not available until </w:t>
      </w:r>
      <w:proofErr w:type="gramStart"/>
      <w:r>
        <w:t>the June</w:t>
      </w:r>
      <w:proofErr w:type="gramEnd"/>
      <w:r>
        <w:t xml:space="preserve"> 30</w:t>
      </w:r>
      <w:r w:rsidR="00D423F8">
        <w:t xml:space="preserve">, </w:t>
      </w:r>
      <w:proofErr w:type="gramStart"/>
      <w:r w:rsidR="00D423F8">
        <w:t>2026</w:t>
      </w:r>
      <w:proofErr w:type="gramEnd"/>
      <w:r>
        <w:t xml:space="preserve"> reporting requirement. Processing the data, communicating the result (and possibly allowing </w:t>
      </w:r>
      <w:r w:rsidR="00A235E4">
        <w:t>Obligated Parties to</w:t>
      </w:r>
      <w:r>
        <w:t xml:space="preserve"> request for revision) means that the specific obligation is not </w:t>
      </w:r>
      <w:r w:rsidR="005425B8">
        <w:t>known</w:t>
      </w:r>
      <w:r>
        <w:t xml:space="preserve"> to </w:t>
      </w:r>
      <w:r w:rsidR="00A235E4">
        <w:t>O</w:t>
      </w:r>
      <w:r>
        <w:t xml:space="preserve">bligated Parties until late in the summer of 2026 at the earliest. This is more than six months after the start of fuel sales </w:t>
      </w:r>
      <w:r>
        <w:lastRenderedPageBreak/>
        <w:t xml:space="preserve">for the year, more than </w:t>
      </w:r>
      <w:proofErr w:type="gramStart"/>
      <w:r>
        <w:t>half way</w:t>
      </w:r>
      <w:proofErr w:type="gramEnd"/>
      <w:r>
        <w:t xml:space="preserve"> through the heating year and </w:t>
      </w:r>
      <w:r w:rsidR="00BD7928">
        <w:t>as much as a year</w:t>
      </w:r>
      <w:r>
        <w:t xml:space="preserve"> after the Obligated Parties are required to submit their plans for how they intend to procure their credits.</w:t>
      </w:r>
    </w:p>
    <w:p w14:paraId="29C8E287" w14:textId="360D6353" w:rsidR="00E74E2F" w:rsidRDefault="00E74E2F" w:rsidP="003C4AB6">
      <w:r>
        <w:t xml:space="preserve">It is hard to imagine how the PUC will structure an </w:t>
      </w:r>
      <w:proofErr w:type="spellStart"/>
      <w:r>
        <w:t>RfP</w:t>
      </w:r>
      <w:proofErr w:type="spellEnd"/>
      <w:r>
        <w:t xml:space="preserve"> that invites potential DDAs to submit their plans under this schedule and with these timing requirements. It is quite possible that no entity will respond to the </w:t>
      </w:r>
      <w:proofErr w:type="spellStart"/>
      <w:r>
        <w:t>RfP</w:t>
      </w:r>
      <w:proofErr w:type="spellEnd"/>
      <w:r>
        <w:t xml:space="preserve"> making the implementation of the Clean Heat Standard inoperable.</w:t>
      </w:r>
    </w:p>
    <w:p w14:paraId="64DD75EB" w14:textId="77777777" w:rsidR="00E74E2F" w:rsidRDefault="00E74E2F" w:rsidP="003C4AB6"/>
    <w:p w14:paraId="1A50136C" w14:textId="7AD47A22" w:rsidR="00E74E2F" w:rsidRDefault="00E74E2F" w:rsidP="003C4AB6">
      <w:r>
        <w:t xml:space="preserve">The remainder of this response to the </w:t>
      </w:r>
      <w:proofErr w:type="spellStart"/>
      <w:r>
        <w:t>RfI</w:t>
      </w:r>
      <w:proofErr w:type="spellEnd"/>
      <w:r>
        <w:t xml:space="preserve"> focuses on options that address the obstacles from the original legislation and the PUC decisions to date.</w:t>
      </w:r>
      <w:r w:rsidR="002D64D7">
        <w:t xml:space="preserve"> The response responds roughly to some of the questions posed in the </w:t>
      </w:r>
      <w:proofErr w:type="spellStart"/>
      <w:r w:rsidR="002D64D7">
        <w:t>RfI</w:t>
      </w:r>
      <w:proofErr w:type="spellEnd"/>
      <w:r w:rsidR="002D64D7">
        <w:t xml:space="preserve"> starting with Question #4 relating to the procurement of credits.</w:t>
      </w:r>
    </w:p>
    <w:p w14:paraId="4FE5D9BF" w14:textId="6282DEBC" w:rsidR="002D64D7" w:rsidRDefault="002D64D7" w:rsidP="003C4AB6">
      <w:pPr>
        <w:rPr>
          <w:u w:val="single"/>
        </w:rPr>
      </w:pPr>
      <w:r>
        <w:t xml:space="preserve">The crux of any DDA proposal will be to describe the creation of clean heat credits </w:t>
      </w:r>
      <w:r>
        <w:rPr>
          <w:u w:val="single"/>
        </w:rPr>
        <w:t xml:space="preserve">beyond the creditable actions that are taking place </w:t>
      </w:r>
      <w:r w:rsidR="003E1A38">
        <w:rPr>
          <w:u w:val="single"/>
        </w:rPr>
        <w:t xml:space="preserve">outside of </w:t>
      </w:r>
      <w:r>
        <w:rPr>
          <w:u w:val="single"/>
        </w:rPr>
        <w:t>the Clean Heat Standard</w:t>
      </w:r>
      <w:r w:rsidR="003E1A38">
        <w:rPr>
          <w:u w:val="single"/>
        </w:rPr>
        <w:t xml:space="preserve"> program</w:t>
      </w:r>
      <w:r>
        <w:rPr>
          <w:u w:val="single"/>
        </w:rPr>
        <w:t xml:space="preserve">. </w:t>
      </w:r>
    </w:p>
    <w:p w14:paraId="745E8470" w14:textId="7B6CB386" w:rsidR="002D64D7" w:rsidRDefault="002D64D7" w:rsidP="003C4AB6">
      <w:r>
        <w:t xml:space="preserve">Question 4b specifically asks “What other ways might a DDA obtain credits.” A critical element for the successful implementation of Act 18 is for the DDA to receive credits that result from PUC-authorized creditable activities. This includes Tier III actions of the electricity distribution utilities and the projects fostered by Efficiency Vermont and Vermont Gas in their roles as Energy Efficiency Utilities. Because these creditable activities are undertaken with budgets approved by the PUC </w:t>
      </w:r>
      <w:r>
        <w:rPr>
          <w:u w:val="single"/>
        </w:rPr>
        <w:t>prior to any revenues derived from</w:t>
      </w:r>
      <w:r>
        <w:t xml:space="preserve"> </w:t>
      </w:r>
      <w:r>
        <w:rPr>
          <w:u w:val="single"/>
        </w:rPr>
        <w:t>Clean Heat Credits</w:t>
      </w:r>
      <w:r>
        <w:t>, the PUC should direct the distribution utilities and EEUs to provide the registered credits to the DDA with no compensation.</w:t>
      </w:r>
      <w:r w:rsidR="000174AA">
        <w:rPr>
          <w:rStyle w:val="FootnoteReference"/>
        </w:rPr>
        <w:footnoteReference w:id="3"/>
      </w:r>
    </w:p>
    <w:p w14:paraId="21FA9040" w14:textId="7B859917" w:rsidR="002D64D7" w:rsidRDefault="002D64D7" w:rsidP="003C4AB6">
      <w:r>
        <w:t xml:space="preserve">This requirement is important for the operation of the DDA. The credits provided to the DDA </w:t>
      </w:r>
      <w:r w:rsidR="00C34286">
        <w:t xml:space="preserve">can be sold to the Obligated Parties. The revenues from the sale of these credits allows for the DDA to support its own credit creation activities resulting in a lower price of credits than if </w:t>
      </w:r>
      <w:r w:rsidR="00E74325">
        <w:t>DDA</w:t>
      </w:r>
      <w:r w:rsidR="003E1A38">
        <w:t>-</w:t>
      </w:r>
      <w:r w:rsidR="00E74325">
        <w:t>created</w:t>
      </w:r>
      <w:r w:rsidR="00C34286">
        <w:t xml:space="preserve"> credits were priced to cover costs</w:t>
      </w:r>
      <w:r w:rsidR="000A431B">
        <w:t xml:space="preserve"> specific to the creation of the new credits</w:t>
      </w:r>
      <w:r w:rsidR="00C34286">
        <w:t>.</w:t>
      </w:r>
    </w:p>
    <w:p w14:paraId="510F9D41" w14:textId="7A33C2DB" w:rsidR="000174AA" w:rsidRDefault="000174AA" w:rsidP="003C4AB6">
      <w:r>
        <w:t xml:space="preserve">Question 4c asks about the “biggest challenges a DDA might face in procuring credits”. These challenges are the basis of DDA proposals to the PUC. Identifying the most </w:t>
      </w:r>
      <w:proofErr w:type="gramStart"/>
      <w:r>
        <w:t>cost effective</w:t>
      </w:r>
      <w:proofErr w:type="gramEnd"/>
      <w:r>
        <w:t xml:space="preserve"> creditable activities with partners or through </w:t>
      </w:r>
      <w:proofErr w:type="gramStart"/>
      <w:r>
        <w:t>the DDA</w:t>
      </w:r>
      <w:r w:rsidR="000A431B">
        <w:t>’</w:t>
      </w:r>
      <w:r>
        <w:t>s</w:t>
      </w:r>
      <w:proofErr w:type="gramEnd"/>
      <w:r>
        <w:t xml:space="preserve"> own installation processes is the primary DDA responsibility. The PUC should evaluate any proposal to determine the </w:t>
      </w:r>
      <w:r>
        <w:lastRenderedPageBreak/>
        <w:t>prospects for the DDA</w:t>
      </w:r>
      <w:r w:rsidR="00BD7928">
        <w:t xml:space="preserve"> </w:t>
      </w:r>
      <w:r w:rsidR="00DF163F">
        <w:t>to realize the</w:t>
      </w:r>
      <w:r w:rsidR="00BD7928">
        <w:t>ir own</w:t>
      </w:r>
      <w:r w:rsidR="00DF163F">
        <w:t xml:space="preserve"> proposed levels of “new” DDA sponsored credit activities.</w:t>
      </w:r>
    </w:p>
    <w:p w14:paraId="7B81A934" w14:textId="3BE42752" w:rsidR="00DF163F" w:rsidRDefault="00DF163F" w:rsidP="003C4AB6">
      <w:r>
        <w:t xml:space="preserve">Question 5 asks if the DDA should play a role in incentivizing clean heat measures. The prospective DDA will need to understand and propose to the PUC what it considers necessary to promote accelerated clean heat measure installation. As noted in the framing of this response, this is one of the knowledge areas that the DDA will need to hold to carry out its responsibilities. </w:t>
      </w:r>
      <w:r w:rsidR="00776024">
        <w:t>Recognize that</w:t>
      </w:r>
      <w:r>
        <w:t xml:space="preserve"> there is uncertainty surrounding the specific levels of incentive that will accomplish a given level of </w:t>
      </w:r>
      <w:proofErr w:type="gramStart"/>
      <w:r>
        <w:t>measure</w:t>
      </w:r>
      <w:proofErr w:type="gramEnd"/>
      <w:r>
        <w:t xml:space="preserve"> uptake. The PUC should make it clear that</w:t>
      </w:r>
      <w:r w:rsidR="00BD7928">
        <w:t xml:space="preserve"> evaluating</w:t>
      </w:r>
      <w:r>
        <w:t xml:space="preserve"> early years of implementation will </w:t>
      </w:r>
      <w:r w:rsidR="00BD7928">
        <w:t xml:space="preserve">be based on the efforts of the DDA to carry out its tasks and may not be entirely based on the number of credits the DDA creates. </w:t>
      </w:r>
      <w:r w:rsidR="009F4087">
        <w:t xml:space="preserve">The experience of the DDA will </w:t>
      </w:r>
      <w:r>
        <w:t>provide lessons about incentive effectiveness serving as the basis for improved work plans in the future.</w:t>
      </w:r>
    </w:p>
    <w:p w14:paraId="685881C8" w14:textId="69BAAB5C" w:rsidR="00DF163F" w:rsidRDefault="00DF163F" w:rsidP="003C4AB6">
      <w:r>
        <w:t xml:space="preserve">Question 6 is about fostering relationships with clean heat measure implementors. The response to </w:t>
      </w:r>
      <w:proofErr w:type="gramStart"/>
      <w:r>
        <w:t>the PUC</w:t>
      </w:r>
      <w:proofErr w:type="gramEnd"/>
      <w:r>
        <w:t xml:space="preserve"> </w:t>
      </w:r>
      <w:proofErr w:type="spellStart"/>
      <w:r>
        <w:t>RfP</w:t>
      </w:r>
      <w:proofErr w:type="spellEnd"/>
      <w:r>
        <w:t xml:space="preserve"> should include a description of how the DDA will establish its relations with installers</w:t>
      </w:r>
      <w:r w:rsidR="000A431B">
        <w:t xml:space="preserve"> that they intend to use for new measure installation</w:t>
      </w:r>
      <w:r>
        <w:t>.</w:t>
      </w:r>
    </w:p>
    <w:p w14:paraId="601FFA53" w14:textId="40BF85D5" w:rsidR="00DF163F" w:rsidRDefault="00DF163F" w:rsidP="003C4AB6">
      <w:r>
        <w:t xml:space="preserve">Question 7 is about </w:t>
      </w:r>
      <w:r w:rsidR="00A235E4">
        <w:t>c</w:t>
      </w:r>
      <w:r>
        <w:t xml:space="preserve">onsumer navigation – DDA’s should not be required to offer consumer navigation services. A DDA may wish to offer this service and identify the extent to which the </w:t>
      </w:r>
      <w:r w:rsidR="00A235E4">
        <w:t xml:space="preserve">proportion of </w:t>
      </w:r>
      <w:r w:rsidR="005425B8">
        <w:t xml:space="preserve">new </w:t>
      </w:r>
      <w:r w:rsidR="00A235E4">
        <w:t xml:space="preserve">credits </w:t>
      </w:r>
      <w:proofErr w:type="gramStart"/>
      <w:r>
        <w:t>rely</w:t>
      </w:r>
      <w:proofErr w:type="gramEnd"/>
      <w:r>
        <w:t xml:space="preserve"> on partners to establish consumer relations.</w:t>
      </w:r>
      <w:r w:rsidR="00203CE6">
        <w:t xml:space="preserve">  A</w:t>
      </w:r>
      <w:r w:rsidR="00694E2F">
        <w:t xml:space="preserve">n additional option, but </w:t>
      </w:r>
      <w:proofErr w:type="gramStart"/>
      <w:r w:rsidR="00694E2F">
        <w:t>not</w:t>
      </w:r>
      <w:proofErr w:type="gramEnd"/>
      <w:r w:rsidR="00694E2F">
        <w:t xml:space="preserve"> requirement is for the DDA to provide services to installers that help them work more effectively with consumers.</w:t>
      </w:r>
    </w:p>
    <w:p w14:paraId="679AA421" w14:textId="24ABB7E7" w:rsidR="00694E2F" w:rsidRDefault="00694E2F" w:rsidP="003C4AB6">
      <w:r>
        <w:t xml:space="preserve">Question 10 – Specific challenges – A DDA should focus its proposal on providing the most cost-effective installation of clean heat measures. The requirement for low and low-moderate </w:t>
      </w:r>
      <w:proofErr w:type="gramStart"/>
      <w:r>
        <w:t>income installed</w:t>
      </w:r>
      <w:proofErr w:type="gramEnd"/>
      <w:r>
        <w:t xml:space="preserve"> measures means that some level of effort will need to be dedicated to working with lower income households. I recommend that the Equity Advisory Group be maintained in the first few years of program development and provide its expertise in ensuring adequate participation with lower income and other marginalized communities.</w:t>
      </w:r>
    </w:p>
    <w:p w14:paraId="1E4B0D51" w14:textId="38C57EA6" w:rsidR="00694E2F" w:rsidRDefault="00694E2F" w:rsidP="003C4AB6">
      <w:r>
        <w:t xml:space="preserve">Question 11 – Workforce development – The DDA proposal </w:t>
      </w:r>
      <w:proofErr w:type="gramStart"/>
      <w:r>
        <w:t>could, but</w:t>
      </w:r>
      <w:proofErr w:type="gramEnd"/>
      <w:r>
        <w:t xml:space="preserve"> should not be required to identify particular installed measures where workforce improvement will improve the cost effective delivery o</w:t>
      </w:r>
      <w:r w:rsidR="00776024">
        <w:t xml:space="preserve">f services. </w:t>
      </w:r>
    </w:p>
    <w:p w14:paraId="221CC2DA" w14:textId="17A8F132" w:rsidR="00E16864" w:rsidRDefault="00776024" w:rsidP="003C4AB6">
      <w:r>
        <w:t xml:space="preserve">Question 13 – </w:t>
      </w:r>
      <w:proofErr w:type="spellStart"/>
      <w:r>
        <w:t>Start up</w:t>
      </w:r>
      <w:proofErr w:type="spellEnd"/>
      <w:r>
        <w:t xml:space="preserve"> costs – The primary means of funding the activities of a DDA is the sale of credits to </w:t>
      </w:r>
      <w:r w:rsidR="00A235E4">
        <w:t>O</w:t>
      </w:r>
      <w:r>
        <w:t xml:space="preserve">bligated </w:t>
      </w:r>
      <w:r w:rsidR="00A235E4">
        <w:t>P</w:t>
      </w:r>
      <w:r>
        <w:t xml:space="preserve">arties. Because early action credits will exist prior to the start up of the DDA, they exist as assets. It may be that no </w:t>
      </w:r>
      <w:r w:rsidR="00A235E4">
        <w:t>O</w:t>
      </w:r>
      <w:r>
        <w:t xml:space="preserve">bligated </w:t>
      </w:r>
      <w:r w:rsidR="00A235E4">
        <w:t>P</w:t>
      </w:r>
      <w:r>
        <w:t xml:space="preserve">arty will be interested in purchasing </w:t>
      </w:r>
      <w:proofErr w:type="gramStart"/>
      <w:r>
        <w:t>credits</w:t>
      </w:r>
      <w:proofErr w:type="gramEnd"/>
      <w:r>
        <w:t xml:space="preserve"> prior to the start of the obligation period. I suggest that the PUC request the legislature to authorize VEDA (or some other appropriate entity) to bond for funds </w:t>
      </w:r>
      <w:r>
        <w:lastRenderedPageBreak/>
        <w:t xml:space="preserve">sufficient to cover the early months of the DDA activity. The early action credits can serve as collateral to the loan from VEDA to the </w:t>
      </w:r>
      <w:r w:rsidR="000A431B">
        <w:t>DDA</w:t>
      </w:r>
      <w:r>
        <w:t xml:space="preserve">. In the timeline </w:t>
      </w:r>
      <w:r w:rsidR="000A431B">
        <w:t>based on real time reporting</w:t>
      </w:r>
      <w:r>
        <w:t xml:space="preserve">, revenues from the sale of credits taking place as monthly payments from the Obligated Party starting in March of 2026 will match the funding needs of the DDA. The budget submitted to the PUC will include the cash flow resulting from obligated party fee payments and allow for the repayment of the VEDA loan in the </w:t>
      </w:r>
      <w:r w:rsidR="009F4087">
        <w:t>early</w:t>
      </w:r>
      <w:r>
        <w:t xml:space="preserve"> years of DDA operation.</w:t>
      </w:r>
    </w:p>
    <w:p w14:paraId="0CBDF1FA" w14:textId="7C195903" w:rsidR="00A235E4" w:rsidRDefault="00E16864" w:rsidP="003C4AB6">
      <w:r>
        <w:t xml:space="preserve">This funding mechanism opens the discussion about the key to matching revenues to DDA budgets. First, the </w:t>
      </w:r>
      <w:proofErr w:type="spellStart"/>
      <w:r>
        <w:t>RfP</w:t>
      </w:r>
      <w:proofErr w:type="spellEnd"/>
      <w:r>
        <w:t xml:space="preserve"> from the PUC should establish a specific dollar amount for the </w:t>
      </w:r>
      <w:r w:rsidR="00CD7B2B">
        <w:t>budget of the DDA. The revenues for the budget are based on the sale of a specific number of credits at a set credit price</w:t>
      </w:r>
      <w:r>
        <w:t>. The budget</w:t>
      </w:r>
      <w:r w:rsidR="000A431B">
        <w:t xml:space="preserve"> for expenses</w:t>
      </w:r>
      <w:r>
        <w:t xml:space="preserve"> should </w:t>
      </w:r>
      <w:r w:rsidR="000A431B">
        <w:t>start in</w:t>
      </w:r>
      <w:r>
        <w:t xml:space="preserve"> 2025 and </w:t>
      </w:r>
      <w:r w:rsidR="000A431B">
        <w:t xml:space="preserve">include </w:t>
      </w:r>
      <w:r>
        <w:t xml:space="preserve">the </w:t>
      </w:r>
      <w:r w:rsidR="005425B8">
        <w:t>next</w:t>
      </w:r>
      <w:r>
        <w:t xml:space="preserve"> three years</w:t>
      </w:r>
      <w:r w:rsidR="005425B8">
        <w:t xml:space="preserve"> 2026-2028</w:t>
      </w:r>
      <w:r>
        <w:t xml:space="preserve">. </w:t>
      </w:r>
    </w:p>
    <w:p w14:paraId="3DF3E582" w14:textId="06BFE0A8" w:rsidR="00C21E79" w:rsidRDefault="00E16864" w:rsidP="003C4AB6">
      <w:r>
        <w:t xml:space="preserve">Second, the PUC should recommend to the Legislature an amendment to Act 18 that allows for “real time” determination of fuel dealers obligations also re-defining </w:t>
      </w:r>
      <w:r w:rsidR="00A235E4">
        <w:t>O</w:t>
      </w:r>
      <w:r>
        <w:t xml:space="preserve">bligated </w:t>
      </w:r>
      <w:r w:rsidR="00A235E4">
        <w:t>P</w:t>
      </w:r>
      <w:r>
        <w:t xml:space="preserve">arties to those who sell fuel oil, kerosene, propane and natural gas to an end user. In this way, fuel dealers will </w:t>
      </w:r>
      <w:r w:rsidR="002906CB">
        <w:t>have only an incremental increase in administrative costs through a slight modification to</w:t>
      </w:r>
      <w:r>
        <w:t xml:space="preserve"> their existing filing requirement to pay the Fuel Tax to the Vermont Tax Department. The Vermont Fuel Dealers Association have already recommended this approach. </w:t>
      </w:r>
      <w:r>
        <w:rPr>
          <w:rStyle w:val="FootnoteReference"/>
        </w:rPr>
        <w:footnoteReference w:id="4"/>
      </w:r>
      <w:r w:rsidR="001E7FB3">
        <w:t xml:space="preserve"> </w:t>
      </w:r>
      <w:r w:rsidR="00C21E79">
        <w:t xml:space="preserve"> Under this approach, fuel dealers will pay a pre-determined amount on the retail sale of fuels at the time of their monthly filing</w:t>
      </w:r>
      <w:r w:rsidR="00DB2013">
        <w:rPr>
          <w:rStyle w:val="FootnoteReference"/>
        </w:rPr>
        <w:footnoteReference w:id="5"/>
      </w:r>
      <w:r w:rsidR="00C21E79">
        <w:t>. When those dealers procure clean heat credits – whether they be installed or delivered credits, they will submit the credit application for registration. The registration of a clean heat credit leads to a reduction in their payment of the fee in future filings.</w:t>
      </w:r>
    </w:p>
    <w:p w14:paraId="71E97A99" w14:textId="3A861B9D" w:rsidR="00776024" w:rsidRPr="002D64D7" w:rsidRDefault="001E7FB3" w:rsidP="003C4AB6">
      <w:r>
        <w:t xml:space="preserve">The third element that </w:t>
      </w:r>
      <w:proofErr w:type="gramStart"/>
      <w:r>
        <w:t>allows for</w:t>
      </w:r>
      <w:proofErr w:type="gramEnd"/>
      <w:r>
        <w:t xml:space="preserve"> this proposal to meet </w:t>
      </w:r>
      <w:proofErr w:type="gramStart"/>
      <w:r>
        <w:t>all of</w:t>
      </w:r>
      <w:proofErr w:type="gramEnd"/>
      <w:r>
        <w:t xml:space="preserve"> the intentions of Act 18 is to initiate</w:t>
      </w:r>
      <w:r w:rsidR="00E16864">
        <w:t xml:space="preserve"> a bonding authority that will provide early revenues to the DDA </w:t>
      </w:r>
      <w:r w:rsidR="00E16864">
        <w:rPr>
          <w:u w:val="single"/>
        </w:rPr>
        <w:t>and</w:t>
      </w:r>
      <w:r w:rsidR="00E16864">
        <w:t xml:space="preserve"> introduce the possibility of a buffer fund in those cases when Obligated Parties do not access the projected number of credits from the DDA.</w:t>
      </w:r>
      <w:r w:rsidR="00776024">
        <w:t xml:space="preserve"> </w:t>
      </w:r>
      <w:r>
        <w:t xml:space="preserve">While some may find this recommendation to be </w:t>
      </w:r>
      <w:r w:rsidR="002906CB">
        <w:t>overly complex</w:t>
      </w:r>
      <w:r>
        <w:t xml:space="preserve">, it overcomes many of the hurdles of program implementation that have </w:t>
      </w:r>
      <w:r>
        <w:lastRenderedPageBreak/>
        <w:t xml:space="preserve">yet to be addressed in other straw proposals or any of the early rule possibilities laid out by the PUC. In fact, there is an alternative that the PUC and Legislature </w:t>
      </w:r>
      <w:r w:rsidR="00DB2013">
        <w:t>c</w:t>
      </w:r>
      <w:r>
        <w:t xml:space="preserve">ould consider, which is to establish a clean </w:t>
      </w:r>
      <w:r w:rsidR="002906CB">
        <w:t xml:space="preserve">heat </w:t>
      </w:r>
      <w:r>
        <w:t xml:space="preserve">credit bank that accomplishes the same smoothing of revenue requirements for the DDA </w:t>
      </w:r>
      <w:proofErr w:type="gramStart"/>
      <w:r>
        <w:t>and also</w:t>
      </w:r>
      <w:proofErr w:type="gramEnd"/>
      <w:r>
        <w:t xml:space="preserve"> introduces the possibility of on-bill financing.</w:t>
      </w:r>
      <w:r>
        <w:rPr>
          <w:rStyle w:val="FootnoteReference"/>
        </w:rPr>
        <w:footnoteReference w:id="6"/>
      </w:r>
    </w:p>
    <w:p w14:paraId="4C2F48A6" w14:textId="5C18C13B" w:rsidR="00E74E2F" w:rsidRDefault="00203CE6" w:rsidP="003C4AB6">
      <w:r>
        <w:t xml:space="preserve"> </w:t>
      </w:r>
      <w:r w:rsidR="001E7FB3">
        <w:t xml:space="preserve">By including these three components for </w:t>
      </w:r>
      <w:proofErr w:type="spellStart"/>
      <w:r w:rsidR="001E7FB3">
        <w:t>RfP</w:t>
      </w:r>
      <w:proofErr w:type="spellEnd"/>
      <w:r w:rsidR="001E7FB3">
        <w:t xml:space="preserve"> development, the PUC will receive proposals that allow for both:</w:t>
      </w:r>
    </w:p>
    <w:p w14:paraId="1F40AB38" w14:textId="7FAB23A8" w:rsidR="001E7FB3" w:rsidRDefault="001E7FB3" w:rsidP="001E7FB3">
      <w:pPr>
        <w:pStyle w:val="ListParagraph"/>
        <w:numPr>
          <w:ilvl w:val="0"/>
          <w:numId w:val="2"/>
        </w:numPr>
      </w:pPr>
      <w:r>
        <w:t>Ability to compare competing proposals</w:t>
      </w:r>
    </w:p>
    <w:p w14:paraId="69279E4F" w14:textId="4342E39C" w:rsidR="001E7FB3" w:rsidRDefault="001E7FB3" w:rsidP="001E7FB3">
      <w:pPr>
        <w:pStyle w:val="ListParagraph"/>
        <w:numPr>
          <w:ilvl w:val="0"/>
          <w:numId w:val="2"/>
        </w:numPr>
      </w:pPr>
      <w:r>
        <w:t>Provide a basis for the resulting performance contract with the applicants</w:t>
      </w:r>
    </w:p>
    <w:p w14:paraId="41D3BF80" w14:textId="75244124" w:rsidR="00B3535B" w:rsidRDefault="00B3535B" w:rsidP="00B3535B">
      <w:r>
        <w:t>Absent such a</w:t>
      </w:r>
      <w:r w:rsidR="003E1A38">
        <w:t>n</w:t>
      </w:r>
      <w:r>
        <w:t xml:space="preserve"> approach, the PUC may find it difficult for any potential DDA to offer a proposal. There is a tremendous risk for potential DDA’s if they must not only describe their credit creating activities, but also</w:t>
      </w:r>
      <w:r w:rsidR="002906CB">
        <w:t xml:space="preserve"> establishing</w:t>
      </w:r>
      <w:r>
        <w:t xml:space="preserve"> </w:t>
      </w:r>
      <w:r w:rsidR="000A431B">
        <w:t>a general credit price</w:t>
      </w:r>
      <w:r>
        <w:t xml:space="preserve"> based on their costs. To be clear, the proposed approach </w:t>
      </w:r>
      <w:r>
        <w:rPr>
          <w:u w:val="single"/>
        </w:rPr>
        <w:t xml:space="preserve">does not </w:t>
      </w:r>
      <w:r w:rsidRPr="00CD7B2B">
        <w:rPr>
          <w:u w:val="single"/>
        </w:rPr>
        <w:t>require a potential DDA to deliver</w:t>
      </w:r>
      <w:r>
        <w:t xml:space="preserve"> any specific number of credits in </w:t>
      </w:r>
      <w:r w:rsidR="002906CB">
        <w:t xml:space="preserve">response to </w:t>
      </w:r>
      <w:r>
        <w:t xml:space="preserve">the </w:t>
      </w:r>
      <w:proofErr w:type="spellStart"/>
      <w:r>
        <w:t>RfP</w:t>
      </w:r>
      <w:proofErr w:type="spellEnd"/>
      <w:r>
        <w:t xml:space="preserve">, but rather asks the DDA to propose how many credits it can </w:t>
      </w:r>
      <w:r w:rsidR="00CD7B2B">
        <w:t>produce</w:t>
      </w:r>
      <w:r>
        <w:t xml:space="preserve"> at the dollar </w:t>
      </w:r>
      <w:r w:rsidR="002906CB">
        <w:t xml:space="preserve">level </w:t>
      </w:r>
      <w:proofErr w:type="gramStart"/>
      <w:r>
        <w:t xml:space="preserve">established </w:t>
      </w:r>
      <w:r>
        <w:t>budget</w:t>
      </w:r>
      <w:proofErr w:type="gramEnd"/>
      <w:r>
        <w:t xml:space="preserve"> by the PUC</w:t>
      </w:r>
      <w:r w:rsidR="000A431B">
        <w:t>.</w:t>
      </w:r>
      <w:r>
        <w:t xml:space="preserve"> </w:t>
      </w:r>
      <w:r w:rsidR="000A431B">
        <w:t>T</w:t>
      </w:r>
      <w:r>
        <w:t xml:space="preserve">he price per credit is also determined by the PUC prior to </w:t>
      </w:r>
      <w:r w:rsidR="000A431B">
        <w:t xml:space="preserve">the release of a DDA </w:t>
      </w:r>
      <w:proofErr w:type="spellStart"/>
      <w:r w:rsidR="000A431B">
        <w:t>RfP</w:t>
      </w:r>
      <w:proofErr w:type="spellEnd"/>
      <w:r w:rsidR="000A431B">
        <w:rPr>
          <w:rStyle w:val="FootnoteReference"/>
        </w:rPr>
        <w:footnoteReference w:id="7"/>
      </w:r>
      <w:r>
        <w:t>.</w:t>
      </w:r>
    </w:p>
    <w:p w14:paraId="67BA4295" w14:textId="2B08BD96" w:rsidR="00744EF2" w:rsidRDefault="00744EF2" w:rsidP="00B3535B">
      <w:r>
        <w:t xml:space="preserve">An additional benefit of this approach is that the pre-set </w:t>
      </w:r>
      <w:r w:rsidR="005425B8">
        <w:t>price</w:t>
      </w:r>
      <w:r>
        <w:t xml:space="preserve"> for the credit establishes a cap to </w:t>
      </w:r>
      <w:r w:rsidR="00935315">
        <w:t>costs</w:t>
      </w:r>
      <w:r>
        <w:t xml:space="preserve"> for Obligated Parties that could be passed through to fuel purchasing end users. The actual cost to Obligated Parties may be less if they can develop clean heat measures at a lower cost (a benefit of the credit approach compared to other clean fuel strategies) including access to lower carbon liquid and gaseous biofuels. </w:t>
      </w:r>
    </w:p>
    <w:p w14:paraId="7FD9F55E" w14:textId="77777777" w:rsidR="0023280D" w:rsidRDefault="0023280D" w:rsidP="00B3535B"/>
    <w:p w14:paraId="07B6AB67" w14:textId="2BE5BE48" w:rsidR="00BA6A97" w:rsidRDefault="0023280D" w:rsidP="00B3535B">
      <w:r>
        <w:t xml:space="preserve">While this proposal addresses many of the challenges for a DDA’s participation in the implementation of Act 18, there remain additional difficulties that can be discussed. This proposal suggests that the actual number of credits that arise from installed measures and those that arise from the sale of lower carbon liquid and gaseous biofuels is unknown. The PUC, with the assistance of the Technical Advisory </w:t>
      </w:r>
      <w:proofErr w:type="gramStart"/>
      <w:r>
        <w:t>Group</w:t>
      </w:r>
      <w:proofErr w:type="gramEnd"/>
      <w:r>
        <w:t xml:space="preserve"> can develop early estimates of this proportion. The Potential Study sponsored by the Department of Public Service suggests that at levels that meet the 2030 (2029) </w:t>
      </w:r>
      <w:r w:rsidR="00FC387A">
        <w:t xml:space="preserve">GWA </w:t>
      </w:r>
      <w:r>
        <w:t xml:space="preserve">greenhouse gas emission targets, about 70% of the reduction will come from the sale of lower carbon liquid and gaseous biofuels. It is important that the credit price provides the appropriate signal to encourage </w:t>
      </w:r>
      <w:r>
        <w:lastRenderedPageBreak/>
        <w:t>fuel dealers to pursue these lower carbon fuels while also contributing to the acceleration of uptake of installed measures. The first one or two years of the program will provide results that show the need to alter the credit price and possibly the retirement pacing. Uncertainty in knowing th</w:t>
      </w:r>
      <w:r w:rsidR="00FC387A">
        <w:t xml:space="preserve">e proper credit </w:t>
      </w:r>
      <w:r>
        <w:t xml:space="preserve">price at the outset should not be a reason for delay. </w:t>
      </w:r>
    </w:p>
    <w:p w14:paraId="740D83C8" w14:textId="77777777" w:rsidR="00BA6A97" w:rsidRDefault="0023280D" w:rsidP="00B3535B">
      <w:r>
        <w:t xml:space="preserve">If the established price of credits is too low, Obligated Parties will obtain </w:t>
      </w:r>
      <w:proofErr w:type="gramStart"/>
      <w:r>
        <w:t>all of</w:t>
      </w:r>
      <w:proofErr w:type="gramEnd"/>
      <w:r>
        <w:t xml:space="preserve"> their credits through installed measures, and it is probable that the DDA will be the mechanism to obtain the lowest cost credits (because of the availability of </w:t>
      </w:r>
      <w:r w:rsidR="00BA6A97">
        <w:t xml:space="preserve">zero cost credits to reduce DDA credit creation costs). In this case, the DDA will receive all of the revenues from Obligated </w:t>
      </w:r>
      <w:proofErr w:type="gramStart"/>
      <w:r w:rsidR="00BA6A97">
        <w:t>Parties</w:t>
      </w:r>
      <w:proofErr w:type="gramEnd"/>
      <w:r w:rsidR="00BA6A97">
        <w:t xml:space="preserve"> and it should be possible for them to expand their efforts. </w:t>
      </w:r>
    </w:p>
    <w:p w14:paraId="1103C057" w14:textId="47F2843C" w:rsidR="0023280D" w:rsidRDefault="00BA6A97" w:rsidP="00B3535B">
      <w:r>
        <w:t xml:space="preserve">If the credit price is set too high, the Obligated Parties will obtain the maximum amount of credits through the sale of lower carbon liquid and gaseous fuels. The credits held by the DDA will still have value, as they are valid as banked credits for future years, but in order to generate revenue, the PUC may find it valuable to ask the Legislature to set minimum requirements for installed measures as the law currently establishes for </w:t>
      </w:r>
      <w:proofErr w:type="gramStart"/>
      <w:r>
        <w:t>low and moderate income</w:t>
      </w:r>
      <w:proofErr w:type="gramEnd"/>
      <w:r>
        <w:t xml:space="preserve"> fuel users. One advantage in this scenario is that overall greenhouse gas emission reductions will be greater than the pacing calculations estimate, because banked credits are the result of reductions taking place beyond the reductions established by credit retirement.</w:t>
      </w:r>
    </w:p>
    <w:p w14:paraId="5A457E21" w14:textId="77777777" w:rsidR="00B2650D" w:rsidRDefault="00B2650D" w:rsidP="00B3535B"/>
    <w:p w14:paraId="11401537" w14:textId="77777777" w:rsidR="00FC387A" w:rsidRDefault="00B2650D" w:rsidP="00B3535B">
      <w:r>
        <w:t>A</w:t>
      </w:r>
      <w:r w:rsidR="00FC387A">
        <w:t xml:space="preserve">n additional </w:t>
      </w:r>
      <w:r>
        <w:t xml:space="preserve">consideration that raises its own challenges is the requirement for Obligated Parties to submit credit procurement plans to the PUC. Just as the proposal in this submission changes the requirements for the DDA to submit its plans, there should be a parallel relaxation of </w:t>
      </w:r>
      <w:r w:rsidR="00744EF2">
        <w:t>Obligated Party plan submission to the PUC. While eliminating the requirement does make the annual level of purchase of credits from the DDA less certain, the Obligated Parties face the same uncertainties prior to the first year of obligation as do the DDA. The use of a credit line from VEDA lessens the risk to the DDA.</w:t>
      </w:r>
      <w:r w:rsidR="00FC387A">
        <w:t xml:space="preserve"> </w:t>
      </w:r>
    </w:p>
    <w:p w14:paraId="452D45C2" w14:textId="05C40619" w:rsidR="00B2650D" w:rsidRDefault="00FC387A" w:rsidP="00B3535B">
      <w:r>
        <w:t xml:space="preserve">It is likely that </w:t>
      </w:r>
      <w:r w:rsidR="004F2641">
        <w:t>the current</w:t>
      </w:r>
      <w:r>
        <w:t xml:space="preserve"> planning requirement would result in very limited participation of the Obligated Parties in procuring credits outside of the DDA. Having multiple, diverse players creating credits is a strength of the Clean Heat Credit market envisioned in Act 18 and restricting Obligated Party participation</w:t>
      </w:r>
      <w:r w:rsidR="00D423F8">
        <w:t xml:space="preserve"> erodes that strength.</w:t>
      </w:r>
    </w:p>
    <w:p w14:paraId="32C6BE58" w14:textId="77777777" w:rsidR="00D423F8" w:rsidRDefault="00D423F8" w:rsidP="00B3535B"/>
    <w:p w14:paraId="6ECE8285" w14:textId="16D7EA40" w:rsidR="006362F2" w:rsidRDefault="004F2641" w:rsidP="00B3535B">
      <w:r>
        <w:t>In conclusion,</w:t>
      </w:r>
      <w:r w:rsidR="00154A3D">
        <w:t xml:space="preserve"> </w:t>
      </w:r>
      <w:r w:rsidR="006362F2">
        <w:t xml:space="preserve">the PUC-directed discussions about the implementation of Act 18 have been piecemeal to date. The schedule established by the PUC identified many individual topics and the Technical Advisory </w:t>
      </w:r>
      <w:proofErr w:type="gramStart"/>
      <w:r w:rsidR="006362F2">
        <w:t>Group</w:t>
      </w:r>
      <w:proofErr w:type="gramEnd"/>
      <w:r w:rsidR="006362F2">
        <w:t xml:space="preserve"> with valuable material provided by </w:t>
      </w:r>
      <w:proofErr w:type="gramStart"/>
      <w:r w:rsidR="006362F2">
        <w:t xml:space="preserve">consultants,  </w:t>
      </w:r>
      <w:r w:rsidR="006362F2">
        <w:lastRenderedPageBreak/>
        <w:t>worked</w:t>
      </w:r>
      <w:proofErr w:type="gramEnd"/>
      <w:r w:rsidR="006362F2">
        <w:t xml:space="preserve"> through several of them such as fuel carbon intensity and credit characterization. The Commission has just started, what to many observers is the most critical aspect of this program – </w:t>
      </w:r>
      <w:r w:rsidR="005E3C32">
        <w:t xml:space="preserve">determining </w:t>
      </w:r>
      <w:r w:rsidR="006362F2">
        <w:t xml:space="preserve">the costs to participating and non-participating actors. </w:t>
      </w:r>
    </w:p>
    <w:p w14:paraId="46052DF2" w14:textId="77777777" w:rsidR="005E3C32" w:rsidRDefault="006362F2" w:rsidP="00B3535B">
      <w:r>
        <w:t xml:space="preserve">While it is important to consider these individual pieces of the </w:t>
      </w:r>
      <w:r w:rsidR="005E3C32">
        <w:t>program</w:t>
      </w:r>
      <w:r>
        <w:t xml:space="preserve">, it is necessary to synthesize the pieces </w:t>
      </w:r>
      <w:proofErr w:type="gramStart"/>
      <w:r>
        <w:t>into</w:t>
      </w:r>
      <w:proofErr w:type="gramEnd"/>
      <w:r>
        <w:t xml:space="preserve"> a whole </w:t>
      </w:r>
      <w:proofErr w:type="gramStart"/>
      <w:r>
        <w:t>in order to</w:t>
      </w:r>
      <w:proofErr w:type="gramEnd"/>
      <w:r>
        <w:t xml:space="preserve"> understand the potential consequences of implementation. The selection and operations of the Default Delivery Agent highlight the importance of considering a comprehensive picture of the development and retirement of Clean Heat credits. In this submission, I attempt to draw together the creation, pricing and retirement of Clean Heat Credits and the role of </w:t>
      </w:r>
      <w:r w:rsidR="005E3C32">
        <w:t xml:space="preserve">the DDA and Obligated Parties in following through with a credit program that accelerates the transition of heating Vermont buildings and hot water away from fossil fuels to lower carbon alternatives. </w:t>
      </w:r>
    </w:p>
    <w:p w14:paraId="017E116C" w14:textId="77777777" w:rsidR="00857BED" w:rsidRDefault="005E3C32" w:rsidP="00B3535B">
      <w:r>
        <w:t>While the path forward is not simple, it does represent a path towards addressing the thermal sector greenhouse gas emission releases</w:t>
      </w:r>
      <w:r w:rsidR="00857BED">
        <w:t xml:space="preserve"> as envisioned in Act 18</w:t>
      </w:r>
      <w:r>
        <w:t xml:space="preserve">. </w:t>
      </w:r>
      <w:r w:rsidR="00857BED">
        <w:t>I believe that this path is achievable and with appropriate credit pricing and retirement schedule, affordable.</w:t>
      </w:r>
    </w:p>
    <w:p w14:paraId="0C079D95" w14:textId="77777777" w:rsidR="00857BED" w:rsidRDefault="00857BED">
      <w:pPr>
        <w:rPr>
          <w:b/>
          <w:bCs/>
        </w:rPr>
      </w:pPr>
      <w:r>
        <w:rPr>
          <w:b/>
          <w:bCs/>
        </w:rPr>
        <w:br w:type="page"/>
      </w:r>
    </w:p>
    <w:p w14:paraId="285FCB5E" w14:textId="62AC6E12" w:rsidR="00D423F8" w:rsidRDefault="00D25B54" w:rsidP="00B3535B">
      <w:pPr>
        <w:rPr>
          <w:b/>
          <w:bCs/>
        </w:rPr>
      </w:pPr>
      <w:r w:rsidRPr="00D25B54">
        <w:rPr>
          <w:b/>
          <w:bCs/>
        </w:rPr>
        <w:lastRenderedPageBreak/>
        <w:t xml:space="preserve">Excerpt from the </w:t>
      </w:r>
      <w:r>
        <w:rPr>
          <w:b/>
          <w:bCs/>
        </w:rPr>
        <w:t xml:space="preserve">PUC </w:t>
      </w:r>
      <w:r w:rsidRPr="00D25B54">
        <w:rPr>
          <w:b/>
          <w:bCs/>
        </w:rPr>
        <w:t xml:space="preserve">November 1, </w:t>
      </w:r>
      <w:proofErr w:type="gramStart"/>
      <w:r w:rsidRPr="00D25B54">
        <w:rPr>
          <w:b/>
          <w:bCs/>
        </w:rPr>
        <w:t>2024</w:t>
      </w:r>
      <w:proofErr w:type="gramEnd"/>
      <w:r w:rsidRPr="00D25B54">
        <w:rPr>
          <w:b/>
          <w:bCs/>
        </w:rPr>
        <w:t xml:space="preserve"> draft rule regarding the pacing of credit retirement. </w:t>
      </w:r>
    </w:p>
    <w:p w14:paraId="17E3846C" w14:textId="17896BA2" w:rsidR="00D25B54" w:rsidRPr="00D423F8" w:rsidRDefault="00D423F8" w:rsidP="00B3535B">
      <w:r>
        <w:t>(</w:t>
      </w:r>
      <w:r w:rsidR="00D25B54" w:rsidRPr="00D423F8">
        <w:t xml:space="preserve">This language highlights how using prior year sales as the basis for both </w:t>
      </w:r>
      <w:r>
        <w:t>O</w:t>
      </w:r>
      <w:r w:rsidR="00D25B54" w:rsidRPr="00D423F8">
        <w:t xml:space="preserve">bligated </w:t>
      </w:r>
      <w:r>
        <w:t>P</w:t>
      </w:r>
      <w:r w:rsidR="00D25B54" w:rsidRPr="00D423F8">
        <w:t xml:space="preserve">arty identification and the assignment of credits is overly complex. These complexities would be addressed by real time reporting </w:t>
      </w:r>
      <w:proofErr w:type="gramStart"/>
      <w:r w:rsidR="00D25B54" w:rsidRPr="00D423F8">
        <w:t>piggy-backing</w:t>
      </w:r>
      <w:proofErr w:type="gramEnd"/>
      <w:r w:rsidR="00D25B54" w:rsidRPr="00D423F8">
        <w:t xml:space="preserve"> on the current</w:t>
      </w:r>
      <w:r>
        <w:t xml:space="preserve"> fuel dealer</w:t>
      </w:r>
      <w:r w:rsidR="00D25B54" w:rsidRPr="00D423F8">
        <w:t xml:space="preserve"> reporting and collection of the Fuel Tax</w:t>
      </w:r>
      <w:r>
        <w:t>.)</w:t>
      </w:r>
    </w:p>
    <w:p w14:paraId="73061AA1" w14:textId="77777777" w:rsidR="00D25B54" w:rsidRPr="00D25B54" w:rsidRDefault="00D25B54" w:rsidP="00D25B54">
      <w:pPr>
        <w:rPr>
          <w:i/>
          <w:iCs/>
        </w:rPr>
      </w:pPr>
      <w:r w:rsidRPr="00D25B54">
        <w:rPr>
          <w:i/>
          <w:iCs/>
        </w:rPr>
        <w:t xml:space="preserve">The Commission acknowledges that incomplete fuel dealer reporting is problematic when allocating sector-wide credit obligations to registered </w:t>
      </w:r>
      <w:proofErr w:type="gramStart"/>
      <w:r w:rsidRPr="00D25B54">
        <w:rPr>
          <w:i/>
          <w:iCs/>
        </w:rPr>
        <w:t>obligated</w:t>
      </w:r>
      <w:proofErr w:type="gramEnd"/>
      <w:r w:rsidRPr="00D25B54">
        <w:rPr>
          <w:i/>
          <w:iCs/>
        </w:rPr>
        <w:t xml:space="preserve"> parties. We agree that obligations should be assigned based on the true proportional contribution of each obligated party to the total fuel consumed within the state but do not believe we will be able to close the entire gap by leveraging the data sources available to us. To alleviate much of the gap in data (between actual sales and reported sales), the Commission would need to rely on the up- and downstream reporting of fuel under this program (i.e., registrants reporting both suppliers and customers) – identifying any fuel that is not traceable downstream to consumption or traceable upstream to the appropriate obligated party. Ideally, the Commission would identify and isolate the fuel that is not traceable and reserve those units of fuel as unassigned. That volume of unassigned fuel would then be calculated as a proportion of the overall reported total and allocated to a set of not-yet-identified obligated parties. The Commission would then investigate how these unassigned credits should be allocated by following up with the last known owner of the fuel. The remaining gap would be fuel that goes wholly unreported (i.e., the scenario where neither its transport into the state nor end-use consumption is reported). Because future fuel-tax information would be in the aggregate, we would have a sense of the magnitude of missing fuel but would be unable to identify which units of fuel were unreported and by whom. This could be addressed with improved registration and reporting compliance.</w:t>
      </w:r>
    </w:p>
    <w:p w14:paraId="7681F7A3" w14:textId="77777777" w:rsidR="00D25B54" w:rsidRDefault="00D25B54" w:rsidP="00B3535B"/>
    <w:p w14:paraId="52BFB2AE" w14:textId="77777777" w:rsidR="00EF31E7" w:rsidRPr="00B3535B" w:rsidRDefault="00EF31E7" w:rsidP="00B3535B"/>
    <w:p w14:paraId="01F55F44" w14:textId="77777777" w:rsidR="00E74E2F" w:rsidRPr="001F4805" w:rsidRDefault="00E74E2F" w:rsidP="003C4AB6"/>
    <w:sectPr w:rsidR="00E74E2F" w:rsidRPr="001F4805">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64F286B" w14:textId="77777777" w:rsidR="00DC6374" w:rsidRDefault="00DC6374" w:rsidP="004B786F">
      <w:pPr>
        <w:spacing w:after="0" w:line="240" w:lineRule="auto"/>
      </w:pPr>
      <w:r>
        <w:separator/>
      </w:r>
    </w:p>
  </w:endnote>
  <w:endnote w:type="continuationSeparator" w:id="0">
    <w:p w14:paraId="08B8B2A0" w14:textId="77777777" w:rsidR="00DC6374" w:rsidRDefault="00DC6374" w:rsidP="004B78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27CB26" w14:textId="77777777" w:rsidR="00DC6374" w:rsidRDefault="00DC6374" w:rsidP="004B786F">
      <w:pPr>
        <w:spacing w:after="0" w:line="240" w:lineRule="auto"/>
      </w:pPr>
      <w:r>
        <w:separator/>
      </w:r>
    </w:p>
  </w:footnote>
  <w:footnote w:type="continuationSeparator" w:id="0">
    <w:p w14:paraId="5412369C" w14:textId="77777777" w:rsidR="00DC6374" w:rsidRDefault="00DC6374" w:rsidP="004B786F">
      <w:pPr>
        <w:spacing w:after="0" w:line="240" w:lineRule="auto"/>
      </w:pPr>
      <w:r>
        <w:continuationSeparator/>
      </w:r>
    </w:p>
  </w:footnote>
  <w:footnote w:id="1">
    <w:p w14:paraId="63E860B3" w14:textId="30BDC524" w:rsidR="00F85ACA" w:rsidRDefault="00F85ACA">
      <w:pPr>
        <w:pStyle w:val="FootnoteText"/>
      </w:pPr>
      <w:r>
        <w:rPr>
          <w:rStyle w:val="FootnoteReference"/>
        </w:rPr>
        <w:footnoteRef/>
      </w:r>
      <w:r>
        <w:t xml:space="preserve"> While Ken Jones is a member of the Technical Advisory Group, this submission is independent of the work of that group.</w:t>
      </w:r>
    </w:p>
  </w:footnote>
  <w:footnote w:id="2">
    <w:p w14:paraId="7045ED55" w14:textId="5D35B08A" w:rsidR="004B786F" w:rsidRDefault="004B786F">
      <w:pPr>
        <w:pStyle w:val="FootnoteText"/>
      </w:pPr>
      <w:r>
        <w:rPr>
          <w:rStyle w:val="FootnoteReference"/>
        </w:rPr>
        <w:footnoteRef/>
      </w:r>
      <w:r>
        <w:t xml:space="preserve"> In the ideal, the Potential Study presented by the Public Service Department would have provided this guidance. The inability of using that product for estimating market potential is evidence of the challenge of the exercise.</w:t>
      </w:r>
    </w:p>
  </w:footnote>
  <w:footnote w:id="3">
    <w:p w14:paraId="14302148" w14:textId="3307E990" w:rsidR="000174AA" w:rsidRDefault="000174AA">
      <w:pPr>
        <w:pStyle w:val="FootnoteText"/>
      </w:pPr>
      <w:r>
        <w:rPr>
          <w:rStyle w:val="FootnoteReference"/>
        </w:rPr>
        <w:footnoteRef/>
      </w:r>
      <w:r>
        <w:t xml:space="preserve"> Credits developed by the Weatherization Assistance Program should be handled differently. Those credits should remain the property of WAP which will be able to sell its credits and use the revenue to expand its weatherization services, mainly for </w:t>
      </w:r>
      <w:proofErr w:type="gramStart"/>
      <w:r>
        <w:t>low income</w:t>
      </w:r>
      <w:proofErr w:type="gramEnd"/>
      <w:r>
        <w:t xml:space="preserve"> households.</w:t>
      </w:r>
    </w:p>
  </w:footnote>
  <w:footnote w:id="4">
    <w:p w14:paraId="55C784E6" w14:textId="2921A1F3" w:rsidR="00E16864" w:rsidRDefault="00E16864">
      <w:pPr>
        <w:pStyle w:val="FootnoteText"/>
      </w:pPr>
      <w:r>
        <w:rPr>
          <w:rStyle w:val="FootnoteReference"/>
        </w:rPr>
        <w:footnoteRef/>
      </w:r>
      <w:r>
        <w:t xml:space="preserve"> In the PUC rule on Phasing of clean heat credit retirement, the Commission rejected this proposal citing three weaknesses. Th</w:t>
      </w:r>
      <w:r w:rsidR="00C02141">
        <w:t xml:space="preserve">e additional elements included in this </w:t>
      </w:r>
      <w:proofErr w:type="spellStart"/>
      <w:r w:rsidR="00C02141">
        <w:t>RfI</w:t>
      </w:r>
      <w:proofErr w:type="spellEnd"/>
      <w:r w:rsidR="00C02141">
        <w:t xml:space="preserve"> response</w:t>
      </w:r>
      <w:r>
        <w:t xml:space="preserve"> address </w:t>
      </w:r>
      <w:proofErr w:type="gramStart"/>
      <w:r>
        <w:t>all of</w:t>
      </w:r>
      <w:proofErr w:type="gramEnd"/>
      <w:r>
        <w:t xml:space="preserve"> those weaknesses</w:t>
      </w:r>
      <w:r w:rsidR="001E7FB3">
        <w:t xml:space="preserve">: the DDA budgeting process is provided greater certainty </w:t>
      </w:r>
      <w:r w:rsidR="00C02141">
        <w:t>by having the PUC establish a dollar amount compared to</w:t>
      </w:r>
      <w:r w:rsidR="001E7FB3">
        <w:t xml:space="preserve"> any mechanism requiring the DDA to establish its own level of effort. The determination of obligated parties is simpler under this mechanism by using the same definition as used in the collection of the Fuel Tax, and </w:t>
      </w:r>
      <w:r w:rsidR="00C02141">
        <w:t>there is</w:t>
      </w:r>
      <w:r w:rsidR="001E7FB3">
        <w:t xml:space="preserve"> no </w:t>
      </w:r>
      <w:r w:rsidR="00C02141">
        <w:t>need to have complete reconciliation to have a DDA meet its contractual obligations.</w:t>
      </w:r>
      <w:r w:rsidR="001E7FB3">
        <w:t xml:space="preserve"> </w:t>
      </w:r>
    </w:p>
  </w:footnote>
  <w:footnote w:id="5">
    <w:p w14:paraId="79F9C570" w14:textId="57840181" w:rsidR="00DB2013" w:rsidRDefault="00DB2013">
      <w:pPr>
        <w:pStyle w:val="FootnoteText"/>
      </w:pPr>
      <w:r>
        <w:rPr>
          <w:rStyle w:val="FootnoteReference"/>
        </w:rPr>
        <w:footnoteRef/>
      </w:r>
      <w:r>
        <w:t xml:space="preserve"> This amount per unit of fuel is calculated by the PUC based on an estimate of the total sales of fuels during the year and the total number of credits determined to be retired under its phasing approach and the price per credit.</w:t>
      </w:r>
    </w:p>
  </w:footnote>
  <w:footnote w:id="6">
    <w:p w14:paraId="785F2055" w14:textId="09F3706B" w:rsidR="001E7FB3" w:rsidRDefault="001E7FB3">
      <w:pPr>
        <w:pStyle w:val="FootnoteText"/>
      </w:pPr>
      <w:r>
        <w:rPr>
          <w:rStyle w:val="FootnoteReference"/>
        </w:rPr>
        <w:footnoteRef/>
      </w:r>
      <w:r>
        <w:t xml:space="preserve"> While on-bill financing offers many advantages, </w:t>
      </w:r>
      <w:r w:rsidR="00C02141">
        <w:t>this response does not</w:t>
      </w:r>
      <w:r>
        <w:t xml:space="preserve"> go into that </w:t>
      </w:r>
      <w:proofErr w:type="gramStart"/>
      <w:r>
        <w:t>possibility, but</w:t>
      </w:r>
      <w:proofErr w:type="gramEnd"/>
      <w:r>
        <w:t xml:space="preserve"> welcome</w:t>
      </w:r>
      <w:r w:rsidR="00983BA4">
        <w:t>s</w:t>
      </w:r>
      <w:r>
        <w:t xml:space="preserve"> the Commission’s invitation to explore the topic more completely.</w:t>
      </w:r>
    </w:p>
  </w:footnote>
  <w:footnote w:id="7">
    <w:p w14:paraId="7210DFAD" w14:textId="0FB0D36C" w:rsidR="000A431B" w:rsidRDefault="000A431B">
      <w:pPr>
        <w:pStyle w:val="FootnoteText"/>
      </w:pPr>
      <w:r>
        <w:rPr>
          <w:rStyle w:val="FootnoteReference"/>
        </w:rPr>
        <w:footnoteRef/>
      </w:r>
      <w:r>
        <w:t xml:space="preserve"> Establishing the price of a credit, or </w:t>
      </w:r>
      <w:r w:rsidR="00983BA4">
        <w:t>prices for</w:t>
      </w:r>
      <w:r>
        <w:t xml:space="preserve"> the different classes of credit can be based on a combination of existing fuel credit </w:t>
      </w:r>
      <w:r w:rsidR="00FC387A">
        <w:t>price</w:t>
      </w:r>
      <w:r>
        <w:t xml:space="preserve">s </w:t>
      </w:r>
      <w:r w:rsidR="00983BA4">
        <w:t xml:space="preserve">in other jurisdictions </w:t>
      </w:r>
      <w:r>
        <w:t xml:space="preserve">and an estimate of the revenues for an appropriate budget for the DDA. As with other elements of this proposal, </w:t>
      </w:r>
      <w:r w:rsidR="0023280D">
        <w:t xml:space="preserve">the PUC should initiate this discussion </w:t>
      </w:r>
      <w:proofErr w:type="gramStart"/>
      <w:r w:rsidR="0023280D">
        <w:t>in order to</w:t>
      </w:r>
      <w:proofErr w:type="gramEnd"/>
      <w:r w:rsidR="0023280D">
        <w:t xml:space="preserve"> provide greater clarity about the overall cost of the Clean Heat Credit program.</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7305B40"/>
    <w:multiLevelType w:val="hybridMultilevel"/>
    <w:tmpl w:val="BBD8F7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2215838"/>
    <w:multiLevelType w:val="hybridMultilevel"/>
    <w:tmpl w:val="49DAAB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D7909AD"/>
    <w:multiLevelType w:val="hybridMultilevel"/>
    <w:tmpl w:val="B99C07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448356640">
    <w:abstractNumId w:val="1"/>
  </w:num>
  <w:num w:numId="2" w16cid:durableId="1541360941">
    <w:abstractNumId w:val="2"/>
  </w:num>
  <w:num w:numId="3" w16cid:durableId="98003828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6274"/>
    <w:rsid w:val="000174AA"/>
    <w:rsid w:val="000A431B"/>
    <w:rsid w:val="00101827"/>
    <w:rsid w:val="00154A3D"/>
    <w:rsid w:val="00176F5D"/>
    <w:rsid w:val="001E7FB3"/>
    <w:rsid w:val="001F4805"/>
    <w:rsid w:val="00203CE6"/>
    <w:rsid w:val="0023280D"/>
    <w:rsid w:val="002906CB"/>
    <w:rsid w:val="002D64D7"/>
    <w:rsid w:val="003C4AB6"/>
    <w:rsid w:val="003E1A38"/>
    <w:rsid w:val="00455DA4"/>
    <w:rsid w:val="004B786F"/>
    <w:rsid w:val="004F2641"/>
    <w:rsid w:val="005425B8"/>
    <w:rsid w:val="005E3C32"/>
    <w:rsid w:val="006362F2"/>
    <w:rsid w:val="006829FF"/>
    <w:rsid w:val="00694E2F"/>
    <w:rsid w:val="00744EF2"/>
    <w:rsid w:val="00776024"/>
    <w:rsid w:val="00857BED"/>
    <w:rsid w:val="00935315"/>
    <w:rsid w:val="00983BA4"/>
    <w:rsid w:val="009F4087"/>
    <w:rsid w:val="00A235E4"/>
    <w:rsid w:val="00AA6274"/>
    <w:rsid w:val="00B2650D"/>
    <w:rsid w:val="00B3535B"/>
    <w:rsid w:val="00BA6A97"/>
    <w:rsid w:val="00BD7928"/>
    <w:rsid w:val="00C02141"/>
    <w:rsid w:val="00C21E79"/>
    <w:rsid w:val="00C34286"/>
    <w:rsid w:val="00CD7B2B"/>
    <w:rsid w:val="00D25B54"/>
    <w:rsid w:val="00D423F8"/>
    <w:rsid w:val="00DB2013"/>
    <w:rsid w:val="00DC6374"/>
    <w:rsid w:val="00DF163F"/>
    <w:rsid w:val="00E16864"/>
    <w:rsid w:val="00E74325"/>
    <w:rsid w:val="00E74E2F"/>
    <w:rsid w:val="00EF31E7"/>
    <w:rsid w:val="00F85ACA"/>
    <w:rsid w:val="00FB085C"/>
    <w:rsid w:val="00FC38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EC4DCA"/>
  <w15:chartTrackingRefBased/>
  <w15:docId w15:val="{EFA27FE2-3F14-4800-9DC8-60BAA0B92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A627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A627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A627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A627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A627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A627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A627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A627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A627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A627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A627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A627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A627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A627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A627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A627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A627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A6274"/>
    <w:rPr>
      <w:rFonts w:eastAsiaTheme="majorEastAsia" w:cstheme="majorBidi"/>
      <w:color w:val="272727" w:themeColor="text1" w:themeTint="D8"/>
    </w:rPr>
  </w:style>
  <w:style w:type="paragraph" w:styleId="Title">
    <w:name w:val="Title"/>
    <w:basedOn w:val="Normal"/>
    <w:next w:val="Normal"/>
    <w:link w:val="TitleChar"/>
    <w:uiPriority w:val="10"/>
    <w:qFormat/>
    <w:rsid w:val="00AA627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A627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A627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A627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A6274"/>
    <w:pPr>
      <w:spacing w:before="160"/>
      <w:jc w:val="center"/>
    </w:pPr>
    <w:rPr>
      <w:i/>
      <w:iCs/>
      <w:color w:val="404040" w:themeColor="text1" w:themeTint="BF"/>
    </w:rPr>
  </w:style>
  <w:style w:type="character" w:customStyle="1" w:styleId="QuoteChar">
    <w:name w:val="Quote Char"/>
    <w:basedOn w:val="DefaultParagraphFont"/>
    <w:link w:val="Quote"/>
    <w:uiPriority w:val="29"/>
    <w:rsid w:val="00AA6274"/>
    <w:rPr>
      <w:i/>
      <w:iCs/>
      <w:color w:val="404040" w:themeColor="text1" w:themeTint="BF"/>
    </w:rPr>
  </w:style>
  <w:style w:type="paragraph" w:styleId="ListParagraph">
    <w:name w:val="List Paragraph"/>
    <w:basedOn w:val="Normal"/>
    <w:uiPriority w:val="34"/>
    <w:qFormat/>
    <w:rsid w:val="00AA6274"/>
    <w:pPr>
      <w:ind w:left="720"/>
      <w:contextualSpacing/>
    </w:pPr>
  </w:style>
  <w:style w:type="character" w:styleId="IntenseEmphasis">
    <w:name w:val="Intense Emphasis"/>
    <w:basedOn w:val="DefaultParagraphFont"/>
    <w:uiPriority w:val="21"/>
    <w:qFormat/>
    <w:rsid w:val="00AA6274"/>
    <w:rPr>
      <w:i/>
      <w:iCs/>
      <w:color w:val="0F4761" w:themeColor="accent1" w:themeShade="BF"/>
    </w:rPr>
  </w:style>
  <w:style w:type="paragraph" w:styleId="IntenseQuote">
    <w:name w:val="Intense Quote"/>
    <w:basedOn w:val="Normal"/>
    <w:next w:val="Normal"/>
    <w:link w:val="IntenseQuoteChar"/>
    <w:uiPriority w:val="30"/>
    <w:qFormat/>
    <w:rsid w:val="00AA627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A6274"/>
    <w:rPr>
      <w:i/>
      <w:iCs/>
      <w:color w:val="0F4761" w:themeColor="accent1" w:themeShade="BF"/>
    </w:rPr>
  </w:style>
  <w:style w:type="character" w:styleId="IntenseReference">
    <w:name w:val="Intense Reference"/>
    <w:basedOn w:val="DefaultParagraphFont"/>
    <w:uiPriority w:val="32"/>
    <w:qFormat/>
    <w:rsid w:val="00AA6274"/>
    <w:rPr>
      <w:b/>
      <w:bCs/>
      <w:smallCaps/>
      <w:color w:val="0F4761" w:themeColor="accent1" w:themeShade="BF"/>
      <w:spacing w:val="5"/>
    </w:rPr>
  </w:style>
  <w:style w:type="paragraph" w:styleId="FootnoteText">
    <w:name w:val="footnote text"/>
    <w:basedOn w:val="Normal"/>
    <w:link w:val="FootnoteTextChar"/>
    <w:uiPriority w:val="99"/>
    <w:semiHidden/>
    <w:unhideWhenUsed/>
    <w:rsid w:val="004B786F"/>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4B786F"/>
    <w:rPr>
      <w:sz w:val="20"/>
      <w:szCs w:val="20"/>
    </w:rPr>
  </w:style>
  <w:style w:type="character" w:styleId="FootnoteReference">
    <w:name w:val="footnote reference"/>
    <w:basedOn w:val="DefaultParagraphFont"/>
    <w:uiPriority w:val="99"/>
    <w:semiHidden/>
    <w:unhideWhenUsed/>
    <w:rsid w:val="004B786F"/>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F28BFDA-9607-4D75-9E45-74FA34720C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8781</TotalTime>
  <Pages>9</Pages>
  <Words>3084</Words>
  <Characters>17583</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Ken Jones</dc:creator>
  <cp:keywords/>
  <dc:description/>
  <cp:lastModifiedBy>Ken Jones</cp:lastModifiedBy>
  <cp:revision>18</cp:revision>
  <dcterms:created xsi:type="dcterms:W3CDTF">2024-11-20T15:43:00Z</dcterms:created>
  <dcterms:modified xsi:type="dcterms:W3CDTF">2024-11-26T19:57:00Z</dcterms:modified>
</cp:coreProperties>
</file>