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BEC" w:rsidRDefault="002B6BEC" w:rsidP="00853A2F">
      <w:pPr>
        <w:jc w:val="center"/>
        <w:rPr>
          <w:b/>
        </w:rPr>
      </w:pPr>
      <w:bookmarkStart w:id="0" w:name="_GoBack"/>
      <w:bookmarkEnd w:id="0"/>
    </w:p>
    <w:p w:rsidR="00853A2F" w:rsidRPr="00853A2F" w:rsidRDefault="00853A2F" w:rsidP="00853A2F">
      <w:pPr>
        <w:jc w:val="center"/>
        <w:rPr>
          <w:b/>
        </w:rPr>
      </w:pPr>
      <w:smartTag w:uri="urn:schemas-microsoft-com:office:smarttags" w:element="State">
        <w:smartTag w:uri="urn:schemas-microsoft-com:office:smarttags" w:element="place">
          <w:r w:rsidRPr="00853A2F">
            <w:rPr>
              <w:b/>
            </w:rPr>
            <w:t>WASHINGTON</w:t>
          </w:r>
        </w:smartTag>
      </w:smartTag>
      <w:r w:rsidRPr="00853A2F">
        <w:rPr>
          <w:b/>
        </w:rPr>
        <w:t xml:space="preserve"> ELECTRIC COOPERATIVE’S, INC. </w:t>
      </w:r>
    </w:p>
    <w:p w:rsidR="00EA0375" w:rsidRDefault="00853A2F" w:rsidP="00853A2F">
      <w:pPr>
        <w:jc w:val="center"/>
        <w:rPr>
          <w:b/>
        </w:rPr>
      </w:pPr>
      <w:r w:rsidRPr="00853A2F">
        <w:rPr>
          <w:b/>
        </w:rPr>
        <w:t>METHOD FOR HANDLING TRANSFER PRICING BETWEEN</w:t>
      </w:r>
    </w:p>
    <w:p w:rsidR="004F6C6D" w:rsidRPr="00853A2F" w:rsidRDefault="00EA0375" w:rsidP="00853A2F">
      <w:pPr>
        <w:jc w:val="center"/>
        <w:rPr>
          <w:b/>
        </w:rPr>
      </w:pPr>
      <w:smartTag w:uri="urn:schemas-microsoft-com:office:smarttags" w:element="City">
        <w:smartTag w:uri="urn:schemas-microsoft-com:office:smarttags" w:element="place">
          <w:r w:rsidRPr="00853A2F">
            <w:rPr>
              <w:b/>
            </w:rPr>
            <w:t>COVENTRY</w:t>
          </w:r>
        </w:smartTag>
      </w:smartTag>
      <w:r w:rsidRPr="00853A2F">
        <w:rPr>
          <w:b/>
        </w:rPr>
        <w:t xml:space="preserve"> CLEAN ENERGY CORPORATION, INC.</w:t>
      </w:r>
    </w:p>
    <w:p w:rsidR="006C1BD7" w:rsidRPr="00047FB0" w:rsidRDefault="00047FB0" w:rsidP="00047FB0">
      <w:pPr>
        <w:jc w:val="center"/>
        <w:rPr>
          <w:b/>
        </w:rPr>
      </w:pPr>
      <w:r w:rsidRPr="00047FB0">
        <w:rPr>
          <w:b/>
        </w:rPr>
        <w:t>AND</w:t>
      </w:r>
    </w:p>
    <w:p w:rsidR="00047FB0" w:rsidRDefault="00047FB0" w:rsidP="00047FB0">
      <w:pPr>
        <w:jc w:val="center"/>
      </w:pPr>
      <w:smartTag w:uri="urn:schemas-microsoft-com:office:smarttags" w:element="State">
        <w:smartTag w:uri="urn:schemas-microsoft-com:office:smarttags" w:element="place">
          <w:r w:rsidRPr="00047FB0">
            <w:rPr>
              <w:b/>
            </w:rPr>
            <w:t>WASHINGTON</w:t>
          </w:r>
        </w:smartTag>
      </w:smartTag>
      <w:r w:rsidRPr="00047FB0">
        <w:rPr>
          <w:b/>
        </w:rPr>
        <w:t xml:space="preserve"> ELECTRIC COOPERATIVE</w:t>
      </w:r>
    </w:p>
    <w:p w:rsidR="002B6BEC" w:rsidRDefault="002B6BEC"/>
    <w:p w:rsidR="006C1BD7" w:rsidRDefault="006C1BD7"/>
    <w:p w:rsidR="006C1BD7" w:rsidRPr="00BD0313" w:rsidRDefault="00BD0313">
      <w:pPr>
        <w:rPr>
          <w:b/>
        </w:rPr>
      </w:pPr>
      <w:r w:rsidRPr="00BD0313">
        <w:rPr>
          <w:b/>
        </w:rPr>
        <w:t>OVERVIEW</w:t>
      </w:r>
    </w:p>
    <w:p w:rsidR="006C1BD7" w:rsidRDefault="006C1BD7"/>
    <w:p w:rsidR="00F961C3" w:rsidRDefault="006C1BD7" w:rsidP="0058717F">
      <w:pPr>
        <w:ind w:firstLine="720"/>
      </w:pPr>
      <w:r>
        <w:t xml:space="preserve">Pursuant to </w:t>
      </w:r>
      <w:r w:rsidR="00F76841">
        <w:t xml:space="preserve">item 8 of </w:t>
      </w:r>
      <w:r>
        <w:t xml:space="preserve">the </w:t>
      </w:r>
      <w:r w:rsidR="00F76841">
        <w:t xml:space="preserve">draft memorandum of understanding between </w:t>
      </w:r>
      <w:r w:rsidRPr="006C1BD7">
        <w:t>Washington Electric Cooperative, Inc.</w:t>
      </w:r>
      <w:r>
        <w:t xml:space="preserve"> (“WEC” or “the Cooperative”)</w:t>
      </w:r>
      <w:r w:rsidR="00F76841">
        <w:t xml:space="preserve"> Verm</w:t>
      </w:r>
      <w:r w:rsidR="00EA0375">
        <w:t>ont Public Service Board (“Board”), WEC</w:t>
      </w:r>
      <w:r>
        <w:t xml:space="preserve"> proposes to address the Board’s concerns with the application of a formulary rate for </w:t>
      </w:r>
      <w:r w:rsidR="00F845C6">
        <w:t xml:space="preserve">gas generated electric </w:t>
      </w:r>
      <w:r>
        <w:t>sales from Coventry Clean Energy Corporation</w:t>
      </w:r>
      <w:r w:rsidR="00653042">
        <w:t>, Inc.</w:t>
      </w:r>
      <w:r>
        <w:t xml:space="preserve"> (“CCEC”) </w:t>
      </w:r>
      <w:r w:rsidR="00F845C6">
        <w:t xml:space="preserve">landfill gas project </w:t>
      </w:r>
      <w:r>
        <w:t xml:space="preserve">to WEC.  </w:t>
      </w:r>
      <w:r w:rsidR="00EA0375">
        <w:t>W</w:t>
      </w:r>
      <w:r w:rsidR="00F961C3">
        <w:t xml:space="preserve">EC is a member-owned electric cooperative.  </w:t>
      </w:r>
    </w:p>
    <w:p w:rsidR="00F961C3" w:rsidRDefault="00F961C3" w:rsidP="00F961C3"/>
    <w:p w:rsidR="00E025AF" w:rsidRDefault="00E025AF" w:rsidP="00F961C3">
      <w:pPr>
        <w:ind w:firstLine="720"/>
      </w:pPr>
      <w:r>
        <w:t xml:space="preserve">WEC has an </w:t>
      </w:r>
      <w:r w:rsidR="00EA0375">
        <w:t xml:space="preserve">exclusive electric supply </w:t>
      </w:r>
      <w:r>
        <w:t xml:space="preserve">agreement with CCEC that </w:t>
      </w:r>
      <w:r w:rsidR="00EA0375">
        <w:t xml:space="preserve">requires CCEC </w:t>
      </w:r>
      <w:r>
        <w:t xml:space="preserve">provide electric energy </w:t>
      </w:r>
      <w:r w:rsidR="00F961C3">
        <w:t xml:space="preserve">for a fee </w:t>
      </w:r>
      <w:r>
        <w:t xml:space="preserve">from its landfill gas recovery project </w:t>
      </w:r>
      <w:r w:rsidR="00F961C3">
        <w:t xml:space="preserve">to WEC. WEC uses the energy to partially meet its native load requirements.  WEC meets the remainder of its load by purchases of capacity and energy at </w:t>
      </w:r>
      <w:r w:rsidR="00EA0375">
        <w:t xml:space="preserve">generally at </w:t>
      </w:r>
      <w:r w:rsidR="00F961C3">
        <w:t xml:space="preserve">higher rates than that produced by CCEC.  </w:t>
      </w:r>
      <w:r>
        <w:t xml:space="preserve">  </w:t>
      </w:r>
    </w:p>
    <w:p w:rsidR="00E025AF" w:rsidRDefault="00E025AF"/>
    <w:p w:rsidR="004E7E3C" w:rsidRDefault="007263A4" w:rsidP="008273F4">
      <w:pPr>
        <w:ind w:firstLine="720"/>
      </w:pPr>
      <w:r>
        <w:t xml:space="preserve">The formulary rate seeks to provide a fair and non-discriminatory method to price the energy from CCEC using standard accepted regulatory treatment.  </w:t>
      </w:r>
      <w:r w:rsidR="006C1BD7">
        <w:t xml:space="preserve">The formulary rate </w:t>
      </w:r>
      <w:r w:rsidR="00047FB0">
        <w:t>can</w:t>
      </w:r>
      <w:r w:rsidR="008273F4">
        <w:t xml:space="preserve"> </w:t>
      </w:r>
      <w:r w:rsidR="006C1BD7">
        <w:t>adjust annually</w:t>
      </w:r>
      <w:r w:rsidR="00653042">
        <w:t xml:space="preserve"> to reflect the costs of CCEC.</w:t>
      </w:r>
      <w:r w:rsidR="0058717F">
        <w:t xml:space="preserve">  It is the intent of the formulary rate collect</w:t>
      </w:r>
      <w:r w:rsidR="00047FB0">
        <w:t>s</w:t>
      </w:r>
      <w:r w:rsidR="0058717F">
        <w:t xml:space="preserve"> all of CCEC’s </w:t>
      </w:r>
      <w:r w:rsidR="004E7E3C">
        <w:t xml:space="preserve">operating </w:t>
      </w:r>
      <w:r w:rsidR="0058717F">
        <w:t xml:space="preserve">costs </w:t>
      </w:r>
      <w:r w:rsidR="008273F4">
        <w:t xml:space="preserve">plus a return, </w:t>
      </w:r>
      <w:r w:rsidR="0058717F">
        <w:t xml:space="preserve">as well as provide for the amortization of </w:t>
      </w:r>
      <w:r w:rsidR="00EA0375">
        <w:t>accounts payable from CCEC to WEC</w:t>
      </w:r>
      <w:r w:rsidR="004E7E3C">
        <w:t xml:space="preserve"> as subsequently described.  </w:t>
      </w:r>
      <w:r w:rsidR="008273F4">
        <w:t xml:space="preserve">The intent is to </w:t>
      </w:r>
      <w:r w:rsidR="00221EB5">
        <w:t>provide</w:t>
      </w:r>
      <w:r w:rsidR="008273F4">
        <w:t xml:space="preserve"> revenues sufficient to keep CCEC operating independently while minimizing the cost to WEC and its members.</w:t>
      </w:r>
    </w:p>
    <w:p w:rsidR="004E7E3C" w:rsidRDefault="004E7E3C"/>
    <w:p w:rsidR="004E7E3C" w:rsidRDefault="004E7E3C"/>
    <w:p w:rsidR="006C1BD7" w:rsidRPr="00BD0313" w:rsidRDefault="00BD0313">
      <w:pPr>
        <w:rPr>
          <w:b/>
        </w:rPr>
      </w:pPr>
      <w:r w:rsidRPr="00BD0313">
        <w:rPr>
          <w:b/>
        </w:rPr>
        <w:t>FORMULARY RATE</w:t>
      </w:r>
    </w:p>
    <w:p w:rsidR="00350BB8" w:rsidRPr="00350BB8" w:rsidRDefault="00350BB8" w:rsidP="00350BB8"/>
    <w:p w:rsidR="005B325A" w:rsidRDefault="00350BB8" w:rsidP="00BD0313">
      <w:pPr>
        <w:ind w:firstLine="720"/>
      </w:pPr>
      <w:r>
        <w:t>WEC</w:t>
      </w:r>
      <w:r w:rsidRPr="00350BB8">
        <w:t xml:space="preserve"> </w:t>
      </w:r>
      <w:r>
        <w:t>has structured</w:t>
      </w:r>
      <w:r w:rsidRPr="00350BB8">
        <w:t xml:space="preserve"> </w:t>
      </w:r>
      <w:r>
        <w:t>a</w:t>
      </w:r>
      <w:r w:rsidRPr="00350BB8">
        <w:t xml:space="preserve"> formula rate similar to those </w:t>
      </w:r>
      <w:r w:rsidR="00EA0375">
        <w:t>authorized</w:t>
      </w:r>
      <w:r>
        <w:t xml:space="preserve"> in other states</w:t>
      </w:r>
      <w:r w:rsidR="008273F4">
        <w:t xml:space="preserve"> as well as </w:t>
      </w:r>
      <w:r w:rsidR="00047FB0">
        <w:t xml:space="preserve">by </w:t>
      </w:r>
      <w:r w:rsidR="008273F4">
        <w:t>the Federal Energy Regulatory Commission</w:t>
      </w:r>
      <w:r w:rsidR="005B325A">
        <w:t xml:space="preserve"> as shown below.</w:t>
      </w:r>
      <w:r w:rsidRPr="00350BB8">
        <w:t xml:space="preserve">  </w:t>
      </w:r>
    </w:p>
    <w:p w:rsidR="005B325A" w:rsidRDefault="005B325A" w:rsidP="005B325A"/>
    <w:p w:rsidR="005B325A" w:rsidRDefault="00535D67" w:rsidP="00535D67">
      <w:pPr>
        <w:ind w:firstLine="720"/>
      </w:pPr>
      <w:r>
        <w:t>1.  Revenue Requirement = Operating Expenses + Rate of Return * Rate Base</w:t>
      </w:r>
    </w:p>
    <w:p w:rsidR="00535D67" w:rsidRDefault="00535D67" w:rsidP="005B325A"/>
    <w:p w:rsidR="00BD0313" w:rsidRDefault="00350BB8" w:rsidP="005B325A">
      <w:r>
        <w:t>T</w:t>
      </w:r>
      <w:r w:rsidRPr="00350BB8">
        <w:t xml:space="preserve">he formula rate </w:t>
      </w:r>
      <w:r w:rsidR="00047FB0">
        <w:t>present</w:t>
      </w:r>
      <w:r w:rsidR="008273F4">
        <w:t>s</w:t>
      </w:r>
      <w:r w:rsidRPr="00350BB8">
        <w:t xml:space="preserve"> </w:t>
      </w:r>
      <w:r w:rsidR="00047FB0">
        <w:t xml:space="preserve">the </w:t>
      </w:r>
      <w:r w:rsidR="008273F4">
        <w:t xml:space="preserve">cost of providing service as an </w:t>
      </w:r>
      <w:r w:rsidRPr="00350BB8">
        <w:t>annual revenue requirement.</w:t>
      </w:r>
      <w:r>
        <w:t xml:space="preserve">  The formulary rate will require the Board’s approval annually</w:t>
      </w:r>
      <w:r w:rsidR="008273F4">
        <w:t xml:space="preserve"> as the input data to the formula change</w:t>
      </w:r>
      <w:r>
        <w:t xml:space="preserve">.  </w:t>
      </w:r>
    </w:p>
    <w:p w:rsidR="00BD0313" w:rsidRDefault="00BD0313" w:rsidP="00350BB8"/>
    <w:p w:rsidR="00350BB8" w:rsidRDefault="00BE2DAD" w:rsidP="00BD0313">
      <w:pPr>
        <w:ind w:firstLine="720"/>
      </w:pPr>
      <w:r>
        <w:t xml:space="preserve">The formula rate is anticipated to be updated annually at the end of each calendar year.  WEC anticipates that after the books close in January, </w:t>
      </w:r>
      <w:r w:rsidR="00EA0375">
        <w:t>t</w:t>
      </w:r>
      <w:r>
        <w:t>he rate would be updated and presented to the Board on or before March 1</w:t>
      </w:r>
      <w:r w:rsidRPr="00BE2DAD">
        <w:rPr>
          <w:vertAlign w:val="superscript"/>
        </w:rPr>
        <w:t>st</w:t>
      </w:r>
      <w:r>
        <w:t xml:space="preserve"> of each year with the anticipation that </w:t>
      </w:r>
      <w:r>
        <w:lastRenderedPageBreak/>
        <w:t>the effective day of the updated rate would be April 1</w:t>
      </w:r>
      <w:r w:rsidRPr="00BE2DAD">
        <w:rPr>
          <w:vertAlign w:val="superscript"/>
        </w:rPr>
        <w:t>st</w:t>
      </w:r>
      <w:r>
        <w:t>.</w:t>
      </w:r>
      <w:r w:rsidR="00BD0313">
        <w:t xml:space="preserve">  </w:t>
      </w:r>
      <w:r>
        <w:t>Hence, t</w:t>
      </w:r>
      <w:r w:rsidR="00BD0313">
        <w:t>he rate is anticipated to be effective from April 1</w:t>
      </w:r>
      <w:r w:rsidR="00BD0313" w:rsidRPr="00BD0313">
        <w:rPr>
          <w:vertAlign w:val="superscript"/>
        </w:rPr>
        <w:t>st</w:t>
      </w:r>
      <w:r w:rsidR="00BD0313">
        <w:t xml:space="preserve"> through March 31</w:t>
      </w:r>
      <w:r w:rsidR="00BD0313" w:rsidRPr="00BD0313">
        <w:rPr>
          <w:vertAlign w:val="superscript"/>
        </w:rPr>
        <w:t>st</w:t>
      </w:r>
      <w:r w:rsidR="00BD0313">
        <w:t xml:space="preserve"> </w:t>
      </w:r>
      <w:r>
        <w:t>o</w:t>
      </w:r>
      <w:r w:rsidR="00BD0313">
        <w:t xml:space="preserve">f each year.  </w:t>
      </w:r>
    </w:p>
    <w:p w:rsidR="00BD0313" w:rsidRDefault="00BD0313" w:rsidP="00BD0313"/>
    <w:p w:rsidR="00BD0313" w:rsidRDefault="00BD0313" w:rsidP="00BD0313"/>
    <w:p w:rsidR="00BD0313" w:rsidRPr="00BD0313" w:rsidRDefault="00BD0313" w:rsidP="00BD0313">
      <w:pPr>
        <w:rPr>
          <w:b/>
          <w:u w:val="single"/>
        </w:rPr>
      </w:pPr>
      <w:r w:rsidRPr="00BD0313">
        <w:rPr>
          <w:b/>
          <w:u w:val="single"/>
        </w:rPr>
        <w:t xml:space="preserve">Rate Structure </w:t>
      </w:r>
    </w:p>
    <w:p w:rsidR="00350BB8" w:rsidRDefault="00350BB8" w:rsidP="00350BB8"/>
    <w:p w:rsidR="00A33758" w:rsidRDefault="00BD0313">
      <w:r>
        <w:tab/>
        <w:t xml:space="preserve">The rate structure is attached hereto as Exhibit 1.  </w:t>
      </w:r>
      <w:r w:rsidR="00A33758">
        <w:t xml:space="preserve">The first page calculates the cost of equity.  CCEC’s equity is owned </w:t>
      </w:r>
      <w:r w:rsidR="00BE2DAD">
        <w:t xml:space="preserve">exclusively </w:t>
      </w:r>
      <w:r w:rsidR="00A33758">
        <w:t xml:space="preserve">by WEC and is </w:t>
      </w:r>
      <w:r w:rsidR="00BE2DAD">
        <w:t xml:space="preserve">not </w:t>
      </w:r>
      <w:r w:rsidR="00A33758">
        <w:t xml:space="preserve">traded in the open market.  WEC is proposing that CCEC cost of equity be calculated using the </w:t>
      </w:r>
      <w:r w:rsidR="00EA0375">
        <w:t>“</w:t>
      </w:r>
      <w:r w:rsidR="00A33758">
        <w:t>Goodwin model</w:t>
      </w:r>
      <w:r w:rsidR="00EA0375">
        <w:t>”</w:t>
      </w:r>
      <w:r w:rsidR="00A33758">
        <w:t xml:space="preserve"> as shown on page 1 of the tariff.  The Goodwin model seeks to determine the cost of equity </w:t>
      </w:r>
      <w:r w:rsidR="00EA0375">
        <w:t xml:space="preserve">of a cooperative </w:t>
      </w:r>
      <w:r w:rsidR="00A33758">
        <w:t xml:space="preserve">required to </w:t>
      </w:r>
      <w:r w:rsidR="00BE2DAD">
        <w:t xml:space="preserve">maintain a constant </w:t>
      </w:r>
      <w:r w:rsidR="00A33758">
        <w:t>equity ratio</w:t>
      </w:r>
      <w:r w:rsidR="00EA0375">
        <w:t xml:space="preserve"> as patronage capital is rotated</w:t>
      </w:r>
      <w:r w:rsidR="00BE2DAD">
        <w:t xml:space="preserve">.  </w:t>
      </w:r>
      <w:r w:rsidR="00A33758">
        <w:t xml:space="preserve">Because CCEC </w:t>
      </w:r>
      <w:r w:rsidR="009F14EC">
        <w:t xml:space="preserve">is not a cooperative and </w:t>
      </w:r>
      <w:r w:rsidR="00A33758">
        <w:t xml:space="preserve">does not rotate capital credits as would a cooperative, the 25 year capital credits rotation assumption represents the expected remaining life of </w:t>
      </w:r>
      <w:r w:rsidR="00886047">
        <w:t xml:space="preserve">the </w:t>
      </w:r>
      <w:r w:rsidR="00A33758">
        <w:t xml:space="preserve">assets.  </w:t>
      </w:r>
      <w:r w:rsidR="00385F49">
        <w:t xml:space="preserve">The cost of equity associated with an </w:t>
      </w:r>
      <w:r w:rsidR="00886047">
        <w:t>investor-owned</w:t>
      </w:r>
      <w:r w:rsidR="00385F49">
        <w:t xml:space="preserve"> utility is essentially the authorized profit for the equity holders.  The cost of equity for a cooperative is the cost whereby the equity can be returned to the member within a certain time frame.  Because WEC is an electric cooperative and is the owner of CCEC, the cost of equity is to be treated like a cooperative.</w:t>
      </w:r>
    </w:p>
    <w:p w:rsidR="00385F49" w:rsidRDefault="00385F49"/>
    <w:p w:rsidR="00385F49" w:rsidRPr="00385F49" w:rsidRDefault="00047FB0" w:rsidP="00385F49">
      <w:pPr>
        <w:jc w:val="center"/>
        <w:rPr>
          <w:b/>
        </w:rPr>
      </w:pPr>
      <w:r>
        <w:rPr>
          <w:b/>
        </w:rPr>
        <w:t>Cost of Equity</w:t>
      </w:r>
    </w:p>
    <w:p w:rsidR="00385F49" w:rsidRDefault="00385F49" w:rsidP="00385F49">
      <w:pPr>
        <w:jc w:val="center"/>
      </w:pPr>
      <w:r w:rsidRPr="00385F49">
        <w:rPr>
          <w:b/>
        </w:rPr>
        <w:t>Page 1</w:t>
      </w:r>
    </w:p>
    <w:p w:rsidR="00385F49" w:rsidRPr="00886047" w:rsidRDefault="005A27B3">
      <w:r>
        <w:rPr>
          <w:noProof/>
        </w:rPr>
        <w:drawing>
          <wp:inline distT="0" distB="0" distL="0" distR="0">
            <wp:extent cx="548640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238250"/>
                    </a:xfrm>
                    <a:prstGeom prst="rect">
                      <a:avLst/>
                    </a:prstGeom>
                    <a:noFill/>
                    <a:ln>
                      <a:noFill/>
                    </a:ln>
                  </pic:spPr>
                </pic:pic>
              </a:graphicData>
            </a:graphic>
          </wp:inline>
        </w:drawing>
      </w:r>
    </w:p>
    <w:p w:rsidR="00385F49" w:rsidRDefault="00385F49"/>
    <w:p w:rsidR="00385F49" w:rsidRDefault="00385F49"/>
    <w:p w:rsidR="00385F49" w:rsidRDefault="00385F49"/>
    <w:p w:rsidR="00A33758" w:rsidRDefault="00A33758">
      <w:r>
        <w:tab/>
        <w:t xml:space="preserve">Page 2 of the tariff represents </w:t>
      </w:r>
      <w:r w:rsidR="008D1B2A">
        <w:t>t</w:t>
      </w:r>
      <w:r w:rsidR="00BE2DAD">
        <w:t xml:space="preserve">he </w:t>
      </w:r>
      <w:r>
        <w:t xml:space="preserve">capital structure of CCEC.  </w:t>
      </w:r>
      <w:r w:rsidR="00385F49">
        <w:t>Presently, CCEC has a</w:t>
      </w:r>
      <w:r w:rsidR="00886047">
        <w:t xml:space="preserve"> appreciably lower</w:t>
      </w:r>
      <w:r w:rsidR="00385F49">
        <w:t xml:space="preserve"> equity ratio</w:t>
      </w:r>
      <w:r w:rsidR="00886047">
        <w:t xml:space="preserve"> than WEC</w:t>
      </w:r>
      <w:r w:rsidR="00385F49">
        <w:t>.  As a result of being highly leveraged, WEC use</w:t>
      </w:r>
      <w:r w:rsidR="00886047">
        <w:t>s</w:t>
      </w:r>
      <w:r w:rsidR="00385F49">
        <w:t xml:space="preserve"> a </w:t>
      </w:r>
      <w:r w:rsidR="009D2A96">
        <w:t xml:space="preserve">hypothetical </w:t>
      </w:r>
      <w:r w:rsidR="00385F49">
        <w:t xml:space="preserve">capital structure </w:t>
      </w:r>
      <w:r w:rsidR="009D2A96">
        <w:t xml:space="preserve">with 20% equity until such time that a more stable higher equity ratio can be achieved.  </w:t>
      </w:r>
      <w:r w:rsidR="00886047">
        <w:t>A</w:t>
      </w:r>
      <w:r w:rsidR="009D2A96">
        <w:t xml:space="preserve"> </w:t>
      </w:r>
      <w:r w:rsidR="0031562C">
        <w:t>hypothetical</w:t>
      </w:r>
      <w:r w:rsidR="009D2A96">
        <w:t xml:space="preserve"> capital structure of 20% equity and 80% debt is close to WEC own capital structure.</w:t>
      </w:r>
      <w:r>
        <w:t xml:space="preserve"> </w:t>
      </w:r>
      <w:r w:rsidR="00924A48">
        <w:t>This page also calculates</w:t>
      </w:r>
      <w:r w:rsidR="009D2A96">
        <w:t xml:space="preserve"> the before tax cost of capital using the Goodwin formula which determines the equity cost required to return patronage capital over the rotation period.  It does not represent a profit level.  Indeed, the cost of equity for a cooperative is, in all but isolated cases, considerably less than that of an </w:t>
      </w:r>
      <w:r w:rsidR="00886047">
        <w:t>investor-owned</w:t>
      </w:r>
      <w:r w:rsidR="009D2A96">
        <w:t xml:space="preserve"> utility.  </w:t>
      </w:r>
    </w:p>
    <w:p w:rsidR="00924A48" w:rsidRDefault="00924A48"/>
    <w:p w:rsidR="009D2A96" w:rsidRDefault="009D2A96">
      <w:r>
        <w:tab/>
        <w:t>This page adjust</w:t>
      </w:r>
      <w:r w:rsidR="00886047">
        <w:t>s</w:t>
      </w:r>
      <w:r>
        <w:t xml:space="preserve"> the cost of equity for federal and state income taxes.</w:t>
      </w:r>
    </w:p>
    <w:p w:rsidR="009D2A96" w:rsidRDefault="009D2A96"/>
    <w:p w:rsidR="00535D67" w:rsidRDefault="009D2A96" w:rsidP="00535D67">
      <w:r>
        <w:tab/>
        <w:t xml:space="preserve">Although the formula does provide for adjustments to the historical year, it is anticipated that adjusted historical values will only be infrequently used.  </w:t>
      </w:r>
      <w:r w:rsidR="005B325A">
        <w:t xml:space="preserve">It is the intent to rely essentially on the historical year where account balances are known. </w:t>
      </w:r>
    </w:p>
    <w:p w:rsidR="00535D67" w:rsidRDefault="00535D67" w:rsidP="00535D67"/>
    <w:p w:rsidR="009D2A96" w:rsidRPr="009D2A96" w:rsidRDefault="009D2A96" w:rsidP="00535D67">
      <w:pPr>
        <w:jc w:val="center"/>
        <w:rPr>
          <w:b/>
        </w:rPr>
      </w:pPr>
      <w:r w:rsidRPr="009D2A96">
        <w:rPr>
          <w:b/>
        </w:rPr>
        <w:t>Capitalization</w:t>
      </w:r>
    </w:p>
    <w:p w:rsidR="009D2A96" w:rsidRPr="009D2A96" w:rsidRDefault="009D2A96" w:rsidP="009D2A96">
      <w:pPr>
        <w:jc w:val="center"/>
        <w:rPr>
          <w:b/>
        </w:rPr>
      </w:pPr>
      <w:r w:rsidRPr="009D2A96">
        <w:rPr>
          <w:b/>
        </w:rPr>
        <w:t>Page 2</w:t>
      </w:r>
    </w:p>
    <w:p w:rsidR="009D2A96" w:rsidRPr="002E0397" w:rsidRDefault="005A27B3" w:rsidP="00886047">
      <w:pPr>
        <w:jc w:val="center"/>
      </w:pPr>
      <w:r>
        <w:rPr>
          <w:noProof/>
        </w:rPr>
        <w:drawing>
          <wp:inline distT="0" distB="0" distL="0" distR="0">
            <wp:extent cx="5486400" cy="2276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276475"/>
                    </a:xfrm>
                    <a:prstGeom prst="rect">
                      <a:avLst/>
                    </a:prstGeom>
                    <a:noFill/>
                    <a:ln>
                      <a:noFill/>
                    </a:ln>
                  </pic:spPr>
                </pic:pic>
              </a:graphicData>
            </a:graphic>
          </wp:inline>
        </w:drawing>
      </w:r>
    </w:p>
    <w:p w:rsidR="009D2A96" w:rsidRDefault="009D2A96"/>
    <w:p w:rsidR="009D2A96" w:rsidRDefault="009D2A96"/>
    <w:p w:rsidR="00924A48" w:rsidRDefault="00924A48">
      <w:r>
        <w:tab/>
      </w:r>
      <w:r w:rsidR="008D1B2A">
        <w:t>T</w:t>
      </w:r>
      <w:r>
        <w:t>he rate base is calculated</w:t>
      </w:r>
      <w:r w:rsidR="008D1B2A">
        <w:t xml:space="preserve"> on page 3 of the tariff</w:t>
      </w:r>
      <w:r>
        <w:t>.  WEC include</w:t>
      </w:r>
      <w:r w:rsidR="00886047">
        <w:t>s</w:t>
      </w:r>
      <w:r>
        <w:t xml:space="preserve"> in rate base both materials and supplies as well as prepayments.  Additionally, WEC collect</w:t>
      </w:r>
      <w:r w:rsidR="002E0397">
        <w:t>s</w:t>
      </w:r>
      <w:r>
        <w:t xml:space="preserve"> cash working capital.  Cash working capital is computed as the </w:t>
      </w:r>
      <w:r w:rsidR="00BD0E71">
        <w:t>based on the 45 day standard formula whereby cash working capital is equal to 45 days/ 36</w:t>
      </w:r>
      <w:r w:rsidR="008D1B2A">
        <w:t>0</w:t>
      </w:r>
      <w:r w:rsidR="00BD0E71">
        <w:t xml:space="preserve"> days, 1/8</w:t>
      </w:r>
      <w:r w:rsidR="00BD0E71" w:rsidRPr="00BD0E71">
        <w:rPr>
          <w:vertAlign w:val="superscript"/>
        </w:rPr>
        <w:t>th</w:t>
      </w:r>
      <w:r w:rsidR="00BD0E71">
        <w:t xml:space="preserve"> of CCEC’s O&amp;M expenses.</w:t>
      </w:r>
    </w:p>
    <w:p w:rsidR="00BE2DAD" w:rsidRDefault="00BE2DAD"/>
    <w:p w:rsidR="00BE2DAD" w:rsidRDefault="00BE2DAD">
      <w:r>
        <w:tab/>
        <w:t xml:space="preserve">Although Construction Work In Progress (CWIP) is not used by CCEC, it may become utilized in the future.  </w:t>
      </w:r>
      <w:r w:rsidR="00AE6AB8">
        <w:t>In an investor</w:t>
      </w:r>
      <w:r w:rsidR="008D1B2A">
        <w:t>-</w:t>
      </w:r>
      <w:r w:rsidR="00AE6AB8">
        <w:t xml:space="preserve">owned </w:t>
      </w:r>
      <w:r w:rsidR="002E0397">
        <w:t xml:space="preserve">electric </w:t>
      </w:r>
      <w:r w:rsidR="00AE6AB8">
        <w:t>utility, where the ratepayers and the equity owners are different, concerns have arisen as to inclusion of CWIP in rate base.  Many commissions and utility boards have failed to permit the inclusion of CWIP in rate base in order to protect the rate</w:t>
      </w:r>
      <w:r w:rsidR="005B325A">
        <w:t>payers from assets which do not meet the “used and useful” test.</w:t>
      </w:r>
      <w:r w:rsidR="00AE6AB8">
        <w:t xml:space="preserve">  I</w:t>
      </w:r>
      <w:r w:rsidR="002B6BEC">
        <w:t>n</w:t>
      </w:r>
      <w:r w:rsidR="00AE6AB8">
        <w:t xml:space="preserve"> a cooperative, or a cooperative</w:t>
      </w:r>
      <w:r w:rsidR="008D1B2A">
        <w:t>-</w:t>
      </w:r>
      <w:r w:rsidR="002B6BEC">
        <w:t>owned entity</w:t>
      </w:r>
      <w:r w:rsidR="005B325A">
        <w:t xml:space="preserve"> like CCEC</w:t>
      </w:r>
      <w:r w:rsidR="002B6BEC">
        <w:t>, the rate payer and equity owner are the same persons; hence, there is no reason to exclude CWIP.</w:t>
      </w:r>
    </w:p>
    <w:p w:rsidR="00BD0E71" w:rsidRDefault="00BD0E71"/>
    <w:p w:rsidR="005B325A" w:rsidRPr="005B325A" w:rsidRDefault="005B325A" w:rsidP="005B325A">
      <w:pPr>
        <w:jc w:val="center"/>
        <w:rPr>
          <w:b/>
        </w:rPr>
      </w:pPr>
      <w:r>
        <w:br w:type="page"/>
      </w:r>
      <w:r w:rsidRPr="005B325A">
        <w:rPr>
          <w:b/>
        </w:rPr>
        <w:lastRenderedPageBreak/>
        <w:t>Rate Base</w:t>
      </w:r>
    </w:p>
    <w:p w:rsidR="005B325A" w:rsidRPr="005B325A" w:rsidRDefault="005B325A" w:rsidP="005B325A">
      <w:pPr>
        <w:jc w:val="center"/>
        <w:rPr>
          <w:b/>
        </w:rPr>
      </w:pPr>
      <w:r w:rsidRPr="005B325A">
        <w:rPr>
          <w:b/>
        </w:rPr>
        <w:t>Page 3</w:t>
      </w:r>
    </w:p>
    <w:p w:rsidR="005B325A" w:rsidRPr="002E0397" w:rsidRDefault="005A27B3" w:rsidP="002E0397">
      <w:pPr>
        <w:jc w:val="center"/>
      </w:pPr>
      <w:r>
        <w:rPr>
          <w:noProof/>
        </w:rPr>
        <w:drawing>
          <wp:inline distT="0" distB="0" distL="0" distR="0">
            <wp:extent cx="5486400" cy="2457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457450"/>
                    </a:xfrm>
                    <a:prstGeom prst="rect">
                      <a:avLst/>
                    </a:prstGeom>
                    <a:noFill/>
                    <a:ln>
                      <a:noFill/>
                    </a:ln>
                  </pic:spPr>
                </pic:pic>
              </a:graphicData>
            </a:graphic>
          </wp:inline>
        </w:drawing>
      </w:r>
    </w:p>
    <w:p w:rsidR="005B325A" w:rsidRDefault="005B325A"/>
    <w:p w:rsidR="005B325A" w:rsidRDefault="005B325A"/>
    <w:p w:rsidR="002C3D50" w:rsidRDefault="00BD0E71" w:rsidP="002C3D50">
      <w:pPr>
        <w:ind w:firstLine="720"/>
      </w:pPr>
      <w:r>
        <w:tab/>
        <w:t xml:space="preserve">Page 4 of the </w:t>
      </w:r>
      <w:r w:rsidR="002E0397">
        <w:t>t</w:t>
      </w:r>
      <w:r>
        <w:t xml:space="preserve">ariff illustrates the computation of the required operating income and the operating and non-operating expenses including a provision (line 32) for the amortization of the payable to WEC.  </w:t>
      </w:r>
    </w:p>
    <w:p w:rsidR="002C3D50" w:rsidRDefault="002C3D50" w:rsidP="002C3D50">
      <w:pPr>
        <w:ind w:firstLine="720"/>
      </w:pPr>
    </w:p>
    <w:p w:rsidR="002C3D50" w:rsidRDefault="002C3D50" w:rsidP="002C3D50">
      <w:pPr>
        <w:ind w:firstLine="720"/>
      </w:pPr>
      <w:r>
        <w:t xml:space="preserve">The formula rate calculates a flat billing factor for all </w:t>
      </w:r>
      <w:r w:rsidR="008D1B2A">
        <w:t>kilowatt-hour</w:t>
      </w:r>
      <w:r>
        <w:t xml:space="preserve"> </w:t>
      </w:r>
      <w:r w:rsidR="008D1B2A">
        <w:t xml:space="preserve">sales of electricity </w:t>
      </w:r>
      <w:r>
        <w:t>during the year.</w:t>
      </w:r>
    </w:p>
    <w:p w:rsidR="005B325A" w:rsidRDefault="005B325A" w:rsidP="005B325A"/>
    <w:p w:rsidR="005B325A" w:rsidRPr="005B325A" w:rsidRDefault="005B325A" w:rsidP="005B325A">
      <w:pPr>
        <w:jc w:val="center"/>
        <w:rPr>
          <w:b/>
        </w:rPr>
      </w:pPr>
      <w:r>
        <w:rPr>
          <w:b/>
        </w:rPr>
        <w:br w:type="page"/>
      </w:r>
      <w:r w:rsidRPr="005B325A">
        <w:rPr>
          <w:b/>
        </w:rPr>
        <w:lastRenderedPageBreak/>
        <w:t>Operating Expense, Revenue Requirement, and Rate Design</w:t>
      </w:r>
    </w:p>
    <w:p w:rsidR="005B325A" w:rsidRDefault="005B325A" w:rsidP="005B325A">
      <w:pPr>
        <w:jc w:val="center"/>
      </w:pPr>
      <w:r w:rsidRPr="005B325A">
        <w:rPr>
          <w:b/>
        </w:rPr>
        <w:t>Page 4</w:t>
      </w:r>
    </w:p>
    <w:p w:rsidR="005B325A" w:rsidRPr="002E0397" w:rsidRDefault="005A27B3" w:rsidP="005B325A">
      <w:r>
        <w:rPr>
          <w:noProof/>
        </w:rPr>
        <w:drawing>
          <wp:inline distT="0" distB="0" distL="0" distR="0">
            <wp:extent cx="5486400" cy="5238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5238750"/>
                    </a:xfrm>
                    <a:prstGeom prst="rect">
                      <a:avLst/>
                    </a:prstGeom>
                    <a:noFill/>
                    <a:ln>
                      <a:noFill/>
                    </a:ln>
                  </pic:spPr>
                </pic:pic>
              </a:graphicData>
            </a:graphic>
          </wp:inline>
        </w:drawing>
      </w:r>
    </w:p>
    <w:p w:rsidR="005B325A" w:rsidRDefault="005B325A" w:rsidP="005B325A"/>
    <w:p w:rsidR="005B325A" w:rsidRDefault="005B325A" w:rsidP="002C3D50">
      <w:pPr>
        <w:rPr>
          <w:b/>
        </w:rPr>
      </w:pPr>
    </w:p>
    <w:p w:rsidR="002C3D50" w:rsidRPr="002C3D50" w:rsidRDefault="002C3D50" w:rsidP="002C3D50">
      <w:pPr>
        <w:rPr>
          <w:b/>
        </w:rPr>
      </w:pPr>
      <w:r w:rsidRPr="002C3D50">
        <w:rPr>
          <w:b/>
        </w:rPr>
        <w:t>SUMMARY</w:t>
      </w:r>
    </w:p>
    <w:p w:rsidR="002C3D50" w:rsidRDefault="002C3D50" w:rsidP="002C3D50">
      <w:r>
        <w:t xml:space="preserve">  </w:t>
      </w:r>
    </w:p>
    <w:p w:rsidR="00BD0E71" w:rsidRDefault="002C3D50">
      <w:r>
        <w:tab/>
      </w:r>
      <w:r w:rsidR="002B6BEC">
        <w:t xml:space="preserve">WEC believes that the </w:t>
      </w:r>
      <w:r>
        <w:t>formula rate recognizes the cost of equity and debt, the rate ba</w:t>
      </w:r>
      <w:r w:rsidR="002B6BEC">
        <w:t xml:space="preserve">se and all appropriate expenses to maintain the </w:t>
      </w:r>
      <w:r w:rsidR="008D1B2A">
        <w:t xml:space="preserve">financial </w:t>
      </w:r>
      <w:r w:rsidR="002B6BEC">
        <w:t xml:space="preserve">health and independence of CCEC while providing </w:t>
      </w:r>
      <w:r w:rsidR="005B325A">
        <w:t xml:space="preserve">a method of </w:t>
      </w:r>
      <w:r w:rsidR="002B6BEC">
        <w:t xml:space="preserve">amortizing the extraordinary payable and providing reasonably priced gas-fired </w:t>
      </w:r>
      <w:r w:rsidR="008D1B2A">
        <w:t xml:space="preserve">(methane) </w:t>
      </w:r>
      <w:r w:rsidR="002B6BEC">
        <w:t xml:space="preserve">electricity to WEC and its members.  </w:t>
      </w:r>
    </w:p>
    <w:p w:rsidR="00924A48" w:rsidRDefault="00924A48"/>
    <w:p w:rsidR="00F961C3" w:rsidRDefault="00F961C3"/>
    <w:p w:rsidR="00F961C3" w:rsidRDefault="00F961C3"/>
    <w:p w:rsidR="00F961C3" w:rsidRDefault="00F961C3"/>
    <w:p w:rsidR="00F961C3" w:rsidRPr="006C1BD7" w:rsidRDefault="00F961C3"/>
    <w:sectPr w:rsidR="00F961C3" w:rsidRPr="006C1BD7">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9DD" w:rsidRDefault="008709DD">
      <w:r>
        <w:separator/>
      </w:r>
    </w:p>
  </w:endnote>
  <w:endnote w:type="continuationSeparator" w:id="0">
    <w:p w:rsidR="008709DD" w:rsidRDefault="00870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411" w:rsidRDefault="00396411" w:rsidP="00221EB5">
    <w:pPr>
      <w:pStyle w:val="Footer"/>
      <w:jc w:val="center"/>
    </w:pPr>
    <w:r>
      <w:t xml:space="preserve">- </w:t>
    </w:r>
    <w:r>
      <w:rPr>
        <w:rStyle w:val="PageNumber"/>
      </w:rPr>
      <w:fldChar w:fldCharType="begin"/>
    </w:r>
    <w:r>
      <w:rPr>
        <w:rStyle w:val="PageNumber"/>
      </w:rPr>
      <w:instrText xml:space="preserve"> PAGE </w:instrText>
    </w:r>
    <w:r>
      <w:rPr>
        <w:rStyle w:val="PageNumber"/>
      </w:rPr>
      <w:fldChar w:fldCharType="separate"/>
    </w:r>
    <w:r w:rsidR="005A27B3">
      <w:rPr>
        <w:rStyle w:val="PageNumber"/>
        <w:noProof/>
      </w:rPr>
      <w:t>1</w:t>
    </w:r>
    <w:r>
      <w:rPr>
        <w:rStyle w:val="PageNumber"/>
      </w:rPr>
      <w:fldChar w:fldCharType="end"/>
    </w:r>
    <w:r>
      <w:rPr>
        <w:rStyle w:val="PageNumbe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9DD" w:rsidRDefault="008709DD">
      <w:r>
        <w:separator/>
      </w:r>
    </w:p>
  </w:footnote>
  <w:footnote w:type="continuationSeparator" w:id="0">
    <w:p w:rsidR="008709DD" w:rsidRDefault="008709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11E5E"/>
    <w:multiLevelType w:val="hybridMultilevel"/>
    <w:tmpl w:val="872E85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F818B2"/>
    <w:multiLevelType w:val="hybridMultilevel"/>
    <w:tmpl w:val="16AAC42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5D0A0C23"/>
    <w:multiLevelType w:val="hybridMultilevel"/>
    <w:tmpl w:val="7736DA9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EE719D3"/>
    <w:multiLevelType w:val="hybridMultilevel"/>
    <w:tmpl w:val="45064BFA"/>
    <w:lvl w:ilvl="0" w:tplc="FFFFFFFF">
      <w:start w:val="1"/>
      <w:numFmt w:val="decimal"/>
      <w:pStyle w:val="FERCparanumber"/>
      <w:lvlText w:val="%1."/>
      <w:lvlJc w:val="left"/>
      <w:pPr>
        <w:tabs>
          <w:tab w:val="num" w:pos="720"/>
        </w:tabs>
        <w:ind w:left="0" w:firstLine="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4">
    <w:nsid w:val="7E4E4DD3"/>
    <w:multiLevelType w:val="hybridMultilevel"/>
    <w:tmpl w:val="BEF656C6"/>
    <w:lvl w:ilvl="0" w:tplc="FFFFFFFF">
      <w:start w:val="1"/>
      <w:numFmt w:val="decimal"/>
      <w:lvlText w:val="%1."/>
      <w:lvlJc w:val="left"/>
      <w:pPr>
        <w:tabs>
          <w:tab w:val="num" w:pos="1260"/>
        </w:tabs>
        <w:ind w:left="540" w:firstLine="0"/>
      </w:pPr>
      <w:rPr>
        <w:rFonts w:hint="default"/>
        <w:b w:val="0"/>
        <w:color w:val="auto"/>
        <w:sz w:val="26"/>
        <w:szCs w:val="26"/>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BD7"/>
    <w:rsid w:val="000034A0"/>
    <w:rsid w:val="00007CEF"/>
    <w:rsid w:val="00014FB0"/>
    <w:rsid w:val="00015179"/>
    <w:rsid w:val="00032929"/>
    <w:rsid w:val="00032D1D"/>
    <w:rsid w:val="000436C7"/>
    <w:rsid w:val="00047FB0"/>
    <w:rsid w:val="00071112"/>
    <w:rsid w:val="00071BAC"/>
    <w:rsid w:val="0008727D"/>
    <w:rsid w:val="00093D87"/>
    <w:rsid w:val="000A2C6C"/>
    <w:rsid w:val="000A380C"/>
    <w:rsid w:val="000C5407"/>
    <w:rsid w:val="000D2ADD"/>
    <w:rsid w:val="000D662C"/>
    <w:rsid w:val="000E5DD8"/>
    <w:rsid w:val="000F2BDB"/>
    <w:rsid w:val="001018FB"/>
    <w:rsid w:val="00111AAC"/>
    <w:rsid w:val="001226AD"/>
    <w:rsid w:val="001247AF"/>
    <w:rsid w:val="00124CFA"/>
    <w:rsid w:val="00125C17"/>
    <w:rsid w:val="001329F1"/>
    <w:rsid w:val="00151BED"/>
    <w:rsid w:val="00166E97"/>
    <w:rsid w:val="0017130C"/>
    <w:rsid w:val="00175AF1"/>
    <w:rsid w:val="0018725A"/>
    <w:rsid w:val="001927FD"/>
    <w:rsid w:val="00193064"/>
    <w:rsid w:val="00195690"/>
    <w:rsid w:val="0019630C"/>
    <w:rsid w:val="001A7456"/>
    <w:rsid w:val="001A7D30"/>
    <w:rsid w:val="001B4A46"/>
    <w:rsid w:val="001B7739"/>
    <w:rsid w:val="001C4BF8"/>
    <w:rsid w:val="001C5F96"/>
    <w:rsid w:val="001D1781"/>
    <w:rsid w:val="001D77B4"/>
    <w:rsid w:val="001E5DA9"/>
    <w:rsid w:val="001F109F"/>
    <w:rsid w:val="001F13E0"/>
    <w:rsid w:val="0020330C"/>
    <w:rsid w:val="00207B68"/>
    <w:rsid w:val="00214E77"/>
    <w:rsid w:val="0022098A"/>
    <w:rsid w:val="002214CE"/>
    <w:rsid w:val="00221EB5"/>
    <w:rsid w:val="00234FC2"/>
    <w:rsid w:val="00235EEE"/>
    <w:rsid w:val="00236A22"/>
    <w:rsid w:val="00240D65"/>
    <w:rsid w:val="002464A4"/>
    <w:rsid w:val="00246C42"/>
    <w:rsid w:val="00251006"/>
    <w:rsid w:val="00264804"/>
    <w:rsid w:val="00265D1B"/>
    <w:rsid w:val="002721FF"/>
    <w:rsid w:val="00273AAC"/>
    <w:rsid w:val="00277D53"/>
    <w:rsid w:val="0028277D"/>
    <w:rsid w:val="00294F68"/>
    <w:rsid w:val="002A46AA"/>
    <w:rsid w:val="002A5623"/>
    <w:rsid w:val="002A6B3F"/>
    <w:rsid w:val="002A70BC"/>
    <w:rsid w:val="002B24AC"/>
    <w:rsid w:val="002B4C56"/>
    <w:rsid w:val="002B6BEC"/>
    <w:rsid w:val="002C149B"/>
    <w:rsid w:val="002C3D50"/>
    <w:rsid w:val="002E0397"/>
    <w:rsid w:val="002E68CC"/>
    <w:rsid w:val="002E6931"/>
    <w:rsid w:val="002E7C27"/>
    <w:rsid w:val="002F0AAE"/>
    <w:rsid w:val="002F650D"/>
    <w:rsid w:val="00302EBD"/>
    <w:rsid w:val="00303D64"/>
    <w:rsid w:val="0031562C"/>
    <w:rsid w:val="00316A6E"/>
    <w:rsid w:val="00321275"/>
    <w:rsid w:val="00324B8E"/>
    <w:rsid w:val="00324D8A"/>
    <w:rsid w:val="00326D04"/>
    <w:rsid w:val="00332084"/>
    <w:rsid w:val="00334741"/>
    <w:rsid w:val="00343720"/>
    <w:rsid w:val="0034556F"/>
    <w:rsid w:val="003471F4"/>
    <w:rsid w:val="00350BB8"/>
    <w:rsid w:val="00352C07"/>
    <w:rsid w:val="00361558"/>
    <w:rsid w:val="00363876"/>
    <w:rsid w:val="00366965"/>
    <w:rsid w:val="00374BCA"/>
    <w:rsid w:val="003757FC"/>
    <w:rsid w:val="00377D70"/>
    <w:rsid w:val="00381AB1"/>
    <w:rsid w:val="00385F49"/>
    <w:rsid w:val="0039391E"/>
    <w:rsid w:val="00396411"/>
    <w:rsid w:val="003B59F5"/>
    <w:rsid w:val="003B7E94"/>
    <w:rsid w:val="003C18A8"/>
    <w:rsid w:val="003D4F47"/>
    <w:rsid w:val="003E357F"/>
    <w:rsid w:val="003E5232"/>
    <w:rsid w:val="003E5B14"/>
    <w:rsid w:val="003F0B92"/>
    <w:rsid w:val="003F243F"/>
    <w:rsid w:val="003F2AB0"/>
    <w:rsid w:val="003F7529"/>
    <w:rsid w:val="004013E6"/>
    <w:rsid w:val="00403E3C"/>
    <w:rsid w:val="004057E4"/>
    <w:rsid w:val="004058F5"/>
    <w:rsid w:val="00405C2F"/>
    <w:rsid w:val="0042089A"/>
    <w:rsid w:val="00424B56"/>
    <w:rsid w:val="00426603"/>
    <w:rsid w:val="00440850"/>
    <w:rsid w:val="00442F6E"/>
    <w:rsid w:val="00442FF5"/>
    <w:rsid w:val="004446DA"/>
    <w:rsid w:val="0044790E"/>
    <w:rsid w:val="00452B4B"/>
    <w:rsid w:val="0046431C"/>
    <w:rsid w:val="00470856"/>
    <w:rsid w:val="00474B1A"/>
    <w:rsid w:val="004922AB"/>
    <w:rsid w:val="00495E51"/>
    <w:rsid w:val="004964DD"/>
    <w:rsid w:val="00497339"/>
    <w:rsid w:val="004978CD"/>
    <w:rsid w:val="004A5E68"/>
    <w:rsid w:val="004C5925"/>
    <w:rsid w:val="004C65B0"/>
    <w:rsid w:val="004E424A"/>
    <w:rsid w:val="004E7E3C"/>
    <w:rsid w:val="004F3985"/>
    <w:rsid w:val="004F5ABF"/>
    <w:rsid w:val="004F6C6D"/>
    <w:rsid w:val="00512D24"/>
    <w:rsid w:val="00517100"/>
    <w:rsid w:val="00517AB6"/>
    <w:rsid w:val="00521055"/>
    <w:rsid w:val="005242B3"/>
    <w:rsid w:val="00525BC6"/>
    <w:rsid w:val="00535D67"/>
    <w:rsid w:val="00536D1B"/>
    <w:rsid w:val="00550F85"/>
    <w:rsid w:val="0055538D"/>
    <w:rsid w:val="00561BD2"/>
    <w:rsid w:val="00562962"/>
    <w:rsid w:val="00574305"/>
    <w:rsid w:val="00580643"/>
    <w:rsid w:val="00586C39"/>
    <w:rsid w:val="0058717F"/>
    <w:rsid w:val="005A0EB0"/>
    <w:rsid w:val="005A27B3"/>
    <w:rsid w:val="005A2DF1"/>
    <w:rsid w:val="005B0D97"/>
    <w:rsid w:val="005B17DB"/>
    <w:rsid w:val="005B325A"/>
    <w:rsid w:val="005B62A8"/>
    <w:rsid w:val="005D4E77"/>
    <w:rsid w:val="005D52B0"/>
    <w:rsid w:val="005E5AE5"/>
    <w:rsid w:val="005E7C99"/>
    <w:rsid w:val="005F0243"/>
    <w:rsid w:val="005F1344"/>
    <w:rsid w:val="00607E94"/>
    <w:rsid w:val="0061166A"/>
    <w:rsid w:val="0061633C"/>
    <w:rsid w:val="00623BD7"/>
    <w:rsid w:val="00636898"/>
    <w:rsid w:val="00651A0B"/>
    <w:rsid w:val="00653042"/>
    <w:rsid w:val="00657F61"/>
    <w:rsid w:val="00661E6C"/>
    <w:rsid w:val="00665807"/>
    <w:rsid w:val="00671EAB"/>
    <w:rsid w:val="00675EE8"/>
    <w:rsid w:val="00680A50"/>
    <w:rsid w:val="00686A3E"/>
    <w:rsid w:val="00696EE2"/>
    <w:rsid w:val="00697884"/>
    <w:rsid w:val="006A3C44"/>
    <w:rsid w:val="006B18B2"/>
    <w:rsid w:val="006B2900"/>
    <w:rsid w:val="006B2E0B"/>
    <w:rsid w:val="006B734F"/>
    <w:rsid w:val="006C1BD7"/>
    <w:rsid w:val="006C7885"/>
    <w:rsid w:val="006D23BD"/>
    <w:rsid w:val="006D5190"/>
    <w:rsid w:val="006E2258"/>
    <w:rsid w:val="006F65C7"/>
    <w:rsid w:val="00707CAA"/>
    <w:rsid w:val="00710540"/>
    <w:rsid w:val="0071142F"/>
    <w:rsid w:val="0072559E"/>
    <w:rsid w:val="0072584A"/>
    <w:rsid w:val="007263A4"/>
    <w:rsid w:val="00733FFF"/>
    <w:rsid w:val="00744CC5"/>
    <w:rsid w:val="00756C3D"/>
    <w:rsid w:val="00761820"/>
    <w:rsid w:val="007679C8"/>
    <w:rsid w:val="00773D92"/>
    <w:rsid w:val="00775CFC"/>
    <w:rsid w:val="00781FA9"/>
    <w:rsid w:val="007833F5"/>
    <w:rsid w:val="00783763"/>
    <w:rsid w:val="00783776"/>
    <w:rsid w:val="007B095D"/>
    <w:rsid w:val="007B75E8"/>
    <w:rsid w:val="007C692B"/>
    <w:rsid w:val="007D0564"/>
    <w:rsid w:val="007E70A2"/>
    <w:rsid w:val="007F0867"/>
    <w:rsid w:val="007F6539"/>
    <w:rsid w:val="00810D10"/>
    <w:rsid w:val="008127CC"/>
    <w:rsid w:val="008230DF"/>
    <w:rsid w:val="00823E6C"/>
    <w:rsid w:val="008273F4"/>
    <w:rsid w:val="0082762D"/>
    <w:rsid w:val="00840588"/>
    <w:rsid w:val="008474FC"/>
    <w:rsid w:val="0085321A"/>
    <w:rsid w:val="00853A2F"/>
    <w:rsid w:val="00862CFC"/>
    <w:rsid w:val="00864B5E"/>
    <w:rsid w:val="00865909"/>
    <w:rsid w:val="00867275"/>
    <w:rsid w:val="008709DD"/>
    <w:rsid w:val="00875B46"/>
    <w:rsid w:val="008765BD"/>
    <w:rsid w:val="00886047"/>
    <w:rsid w:val="00890E78"/>
    <w:rsid w:val="00893A1C"/>
    <w:rsid w:val="008A4539"/>
    <w:rsid w:val="008A7603"/>
    <w:rsid w:val="008B36ED"/>
    <w:rsid w:val="008B3AFB"/>
    <w:rsid w:val="008C02A2"/>
    <w:rsid w:val="008C1FF8"/>
    <w:rsid w:val="008C584B"/>
    <w:rsid w:val="008D1B2A"/>
    <w:rsid w:val="008D6A88"/>
    <w:rsid w:val="008E3D57"/>
    <w:rsid w:val="008F3F30"/>
    <w:rsid w:val="008F42C6"/>
    <w:rsid w:val="008F5304"/>
    <w:rsid w:val="008F5B93"/>
    <w:rsid w:val="009042E8"/>
    <w:rsid w:val="00904D90"/>
    <w:rsid w:val="00920C1D"/>
    <w:rsid w:val="009228C5"/>
    <w:rsid w:val="00924A48"/>
    <w:rsid w:val="0092719F"/>
    <w:rsid w:val="00933177"/>
    <w:rsid w:val="00944AB7"/>
    <w:rsid w:val="00946591"/>
    <w:rsid w:val="0095059C"/>
    <w:rsid w:val="00951B0E"/>
    <w:rsid w:val="00955C8D"/>
    <w:rsid w:val="00957FD0"/>
    <w:rsid w:val="00962691"/>
    <w:rsid w:val="00966402"/>
    <w:rsid w:val="009666CC"/>
    <w:rsid w:val="00966D4C"/>
    <w:rsid w:val="009701D1"/>
    <w:rsid w:val="009719C2"/>
    <w:rsid w:val="00977DA8"/>
    <w:rsid w:val="00991FB5"/>
    <w:rsid w:val="009B0E82"/>
    <w:rsid w:val="009B2B93"/>
    <w:rsid w:val="009B587D"/>
    <w:rsid w:val="009B6149"/>
    <w:rsid w:val="009B7FD6"/>
    <w:rsid w:val="009C1C35"/>
    <w:rsid w:val="009C7D58"/>
    <w:rsid w:val="009D0394"/>
    <w:rsid w:val="009D1334"/>
    <w:rsid w:val="009D2A96"/>
    <w:rsid w:val="009E0C7C"/>
    <w:rsid w:val="009E46D4"/>
    <w:rsid w:val="009E542D"/>
    <w:rsid w:val="009F0F9E"/>
    <w:rsid w:val="009F14EC"/>
    <w:rsid w:val="009F5E64"/>
    <w:rsid w:val="00A00EE8"/>
    <w:rsid w:val="00A0171E"/>
    <w:rsid w:val="00A1367E"/>
    <w:rsid w:val="00A30DE5"/>
    <w:rsid w:val="00A33758"/>
    <w:rsid w:val="00A415B2"/>
    <w:rsid w:val="00A42065"/>
    <w:rsid w:val="00A636BA"/>
    <w:rsid w:val="00A636D0"/>
    <w:rsid w:val="00A70E11"/>
    <w:rsid w:val="00A87F3C"/>
    <w:rsid w:val="00AA334E"/>
    <w:rsid w:val="00AB0354"/>
    <w:rsid w:val="00AC2C73"/>
    <w:rsid w:val="00AD0977"/>
    <w:rsid w:val="00AE6AB8"/>
    <w:rsid w:val="00AF0CC4"/>
    <w:rsid w:val="00AF4A19"/>
    <w:rsid w:val="00B02CCA"/>
    <w:rsid w:val="00B22C50"/>
    <w:rsid w:val="00B3456A"/>
    <w:rsid w:val="00B4776E"/>
    <w:rsid w:val="00B517E8"/>
    <w:rsid w:val="00B51CDC"/>
    <w:rsid w:val="00B6290F"/>
    <w:rsid w:val="00B82696"/>
    <w:rsid w:val="00B85645"/>
    <w:rsid w:val="00B94136"/>
    <w:rsid w:val="00BC0D09"/>
    <w:rsid w:val="00BD0313"/>
    <w:rsid w:val="00BD0E71"/>
    <w:rsid w:val="00BE0BD3"/>
    <w:rsid w:val="00BE1BA9"/>
    <w:rsid w:val="00BE2DAD"/>
    <w:rsid w:val="00BF2D69"/>
    <w:rsid w:val="00BF4A30"/>
    <w:rsid w:val="00C00CC1"/>
    <w:rsid w:val="00C03945"/>
    <w:rsid w:val="00C238F1"/>
    <w:rsid w:val="00C308EA"/>
    <w:rsid w:val="00C31404"/>
    <w:rsid w:val="00C31EFF"/>
    <w:rsid w:val="00C43173"/>
    <w:rsid w:val="00C4673A"/>
    <w:rsid w:val="00C46D7A"/>
    <w:rsid w:val="00C53011"/>
    <w:rsid w:val="00C5613A"/>
    <w:rsid w:val="00C61B90"/>
    <w:rsid w:val="00C62A48"/>
    <w:rsid w:val="00C66D44"/>
    <w:rsid w:val="00C7017C"/>
    <w:rsid w:val="00C7552B"/>
    <w:rsid w:val="00C803E0"/>
    <w:rsid w:val="00C86F24"/>
    <w:rsid w:val="00CB34E2"/>
    <w:rsid w:val="00CB6789"/>
    <w:rsid w:val="00CB736E"/>
    <w:rsid w:val="00CB74FE"/>
    <w:rsid w:val="00CC3249"/>
    <w:rsid w:val="00CD20C9"/>
    <w:rsid w:val="00CD4815"/>
    <w:rsid w:val="00CE0B7D"/>
    <w:rsid w:val="00CF27F1"/>
    <w:rsid w:val="00CF3871"/>
    <w:rsid w:val="00CF5C2C"/>
    <w:rsid w:val="00D16958"/>
    <w:rsid w:val="00D169C8"/>
    <w:rsid w:val="00D21296"/>
    <w:rsid w:val="00D23814"/>
    <w:rsid w:val="00D30FC7"/>
    <w:rsid w:val="00D320EA"/>
    <w:rsid w:val="00D37354"/>
    <w:rsid w:val="00D37376"/>
    <w:rsid w:val="00D41CFE"/>
    <w:rsid w:val="00D434B4"/>
    <w:rsid w:val="00D5008F"/>
    <w:rsid w:val="00D50657"/>
    <w:rsid w:val="00D518D9"/>
    <w:rsid w:val="00D52FD5"/>
    <w:rsid w:val="00D56437"/>
    <w:rsid w:val="00D61D62"/>
    <w:rsid w:val="00D6540B"/>
    <w:rsid w:val="00D70F7E"/>
    <w:rsid w:val="00D7325C"/>
    <w:rsid w:val="00D842D7"/>
    <w:rsid w:val="00D918C9"/>
    <w:rsid w:val="00D9334A"/>
    <w:rsid w:val="00D96DD6"/>
    <w:rsid w:val="00D9736B"/>
    <w:rsid w:val="00DA1753"/>
    <w:rsid w:val="00DA2D16"/>
    <w:rsid w:val="00DA4114"/>
    <w:rsid w:val="00DA501D"/>
    <w:rsid w:val="00DA571E"/>
    <w:rsid w:val="00DC67E5"/>
    <w:rsid w:val="00DD257B"/>
    <w:rsid w:val="00DD2DDE"/>
    <w:rsid w:val="00DD683F"/>
    <w:rsid w:val="00DD7830"/>
    <w:rsid w:val="00DE26AF"/>
    <w:rsid w:val="00DE36B5"/>
    <w:rsid w:val="00DF04A0"/>
    <w:rsid w:val="00DF6342"/>
    <w:rsid w:val="00E025AF"/>
    <w:rsid w:val="00E03CAD"/>
    <w:rsid w:val="00E040FA"/>
    <w:rsid w:val="00E0420B"/>
    <w:rsid w:val="00E06F63"/>
    <w:rsid w:val="00E13085"/>
    <w:rsid w:val="00E14BDD"/>
    <w:rsid w:val="00E159BB"/>
    <w:rsid w:val="00E27ACA"/>
    <w:rsid w:val="00E51BEE"/>
    <w:rsid w:val="00E55963"/>
    <w:rsid w:val="00E70159"/>
    <w:rsid w:val="00E72B98"/>
    <w:rsid w:val="00E73B88"/>
    <w:rsid w:val="00E808DE"/>
    <w:rsid w:val="00E8580E"/>
    <w:rsid w:val="00E862A5"/>
    <w:rsid w:val="00EA0375"/>
    <w:rsid w:val="00EA1E2A"/>
    <w:rsid w:val="00EB16CC"/>
    <w:rsid w:val="00EB38E1"/>
    <w:rsid w:val="00EB7D51"/>
    <w:rsid w:val="00ED0767"/>
    <w:rsid w:val="00ED07CB"/>
    <w:rsid w:val="00ED368C"/>
    <w:rsid w:val="00EE347E"/>
    <w:rsid w:val="00EF65DA"/>
    <w:rsid w:val="00F00393"/>
    <w:rsid w:val="00F07ACE"/>
    <w:rsid w:val="00F116BB"/>
    <w:rsid w:val="00F12322"/>
    <w:rsid w:val="00F14EAE"/>
    <w:rsid w:val="00F1692B"/>
    <w:rsid w:val="00F22996"/>
    <w:rsid w:val="00F30EE8"/>
    <w:rsid w:val="00F33AAB"/>
    <w:rsid w:val="00F3758F"/>
    <w:rsid w:val="00F50628"/>
    <w:rsid w:val="00F54594"/>
    <w:rsid w:val="00F5518A"/>
    <w:rsid w:val="00F62791"/>
    <w:rsid w:val="00F6419F"/>
    <w:rsid w:val="00F64470"/>
    <w:rsid w:val="00F713B5"/>
    <w:rsid w:val="00F71981"/>
    <w:rsid w:val="00F73088"/>
    <w:rsid w:val="00F74B32"/>
    <w:rsid w:val="00F76841"/>
    <w:rsid w:val="00F83AEC"/>
    <w:rsid w:val="00F845C6"/>
    <w:rsid w:val="00F90CAA"/>
    <w:rsid w:val="00F961C3"/>
    <w:rsid w:val="00FA0E50"/>
    <w:rsid w:val="00FA2B44"/>
    <w:rsid w:val="00FC547A"/>
    <w:rsid w:val="00FD63D1"/>
    <w:rsid w:val="00FD6D0E"/>
    <w:rsid w:val="00FE1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F961C3"/>
    <w:pPr>
      <w:autoSpaceDE w:val="0"/>
      <w:autoSpaceDN w:val="0"/>
      <w:adjustRightInd w:val="0"/>
    </w:pPr>
    <w:rPr>
      <w:color w:val="000000"/>
      <w:sz w:val="24"/>
      <w:szCs w:val="24"/>
    </w:rPr>
  </w:style>
  <w:style w:type="paragraph" w:styleId="BodyText">
    <w:name w:val="Body Text"/>
    <w:basedOn w:val="Default"/>
    <w:next w:val="Default"/>
    <w:rsid w:val="00F961C3"/>
    <w:rPr>
      <w:color w:val="auto"/>
    </w:rPr>
  </w:style>
  <w:style w:type="paragraph" w:customStyle="1" w:styleId="FERCparanumber">
    <w:name w:val="FERC paranumber"/>
    <w:basedOn w:val="Normal"/>
    <w:link w:val="FERCparanumberChar1"/>
    <w:rsid w:val="00350BB8"/>
    <w:pPr>
      <w:widowControl w:val="0"/>
      <w:numPr>
        <w:numId w:val="1"/>
      </w:numPr>
      <w:autoSpaceDE w:val="0"/>
      <w:autoSpaceDN w:val="0"/>
      <w:adjustRightInd w:val="0"/>
    </w:pPr>
    <w:rPr>
      <w:sz w:val="26"/>
    </w:rPr>
  </w:style>
  <w:style w:type="character" w:customStyle="1" w:styleId="FERCparanumberChar1">
    <w:name w:val="FERC paranumber Char1"/>
    <w:basedOn w:val="DefaultParagraphFont"/>
    <w:link w:val="FERCparanumber"/>
    <w:rsid w:val="00350BB8"/>
    <w:rPr>
      <w:sz w:val="26"/>
      <w:szCs w:val="24"/>
      <w:lang w:val="en-US" w:eastAsia="en-US" w:bidi="ar-SA"/>
    </w:rPr>
  </w:style>
  <w:style w:type="character" w:styleId="FootnoteReference">
    <w:name w:val="footnote reference"/>
    <w:aliases w:val="o,fr,Style 17,Style 13,Style 12,Style 15,Style 9,o1,fr1,o2,fr2,o3,fr3,Style 18,(NECG) Footnote Reference,Style 20,Style 7,Style 8"/>
    <w:basedOn w:val="DefaultParagraphFont"/>
    <w:rsid w:val="00350BB8"/>
    <w:rPr>
      <w:rFonts w:ascii="Times New Roman" w:hAnsi="Times New Roman"/>
      <w:b/>
      <w:sz w:val="26"/>
      <w:szCs w:val="26"/>
      <w:vertAlign w:val="superscript"/>
    </w:rPr>
  </w:style>
  <w:style w:type="paragraph" w:styleId="FootnoteText">
    <w:name w:val="footnote text"/>
    <w:aliases w:val="Footnote Text Char1,Footnote Text Char Char,fn Char Char,Footnote Text Char1 Char1 Char,Footnote Text Char Char Char1 Char,Footnote Text Char1 Char Char Char,Footnote Text Char Char Char Char Char,Footnote Text Char Char1,ft,fn,fn Char"/>
    <w:basedOn w:val="Normal"/>
    <w:link w:val="FootnoteTextChar"/>
    <w:rsid w:val="00350BB8"/>
    <w:pPr>
      <w:widowControl w:val="0"/>
      <w:autoSpaceDE w:val="0"/>
      <w:autoSpaceDN w:val="0"/>
      <w:adjustRightInd w:val="0"/>
      <w:spacing w:after="260"/>
      <w:ind w:firstLine="720"/>
    </w:pPr>
    <w:rPr>
      <w:sz w:val="26"/>
      <w:szCs w:val="20"/>
    </w:rPr>
  </w:style>
  <w:style w:type="character" w:customStyle="1" w:styleId="FootnoteTextChar">
    <w:name w:val="Footnote Text Char"/>
    <w:aliases w:val="Footnote Text Char1 Char,Footnote Text Char Char Char,fn Char Char Char,Footnote Text Char1 Char1 Char Char,Footnote Text Char Char Char1 Char Char,Footnote Text Char1 Char Char Char Char,Footnote Text Char Char Char Char Char Char"/>
    <w:basedOn w:val="DefaultParagraphFont"/>
    <w:link w:val="FootnoteText"/>
    <w:rsid w:val="00350BB8"/>
    <w:rPr>
      <w:sz w:val="26"/>
      <w:lang w:val="en-US" w:eastAsia="en-US" w:bidi="ar-SA"/>
    </w:rPr>
  </w:style>
  <w:style w:type="paragraph" w:styleId="BalloonText">
    <w:name w:val="Balloon Text"/>
    <w:basedOn w:val="Normal"/>
    <w:semiHidden/>
    <w:rsid w:val="00350BB8"/>
    <w:rPr>
      <w:rFonts w:ascii="Tahoma" w:hAnsi="Tahoma" w:cs="Tahoma"/>
      <w:sz w:val="16"/>
      <w:szCs w:val="16"/>
    </w:rPr>
  </w:style>
  <w:style w:type="paragraph" w:styleId="Header">
    <w:name w:val="header"/>
    <w:basedOn w:val="Normal"/>
    <w:rsid w:val="00221EB5"/>
    <w:pPr>
      <w:tabs>
        <w:tab w:val="center" w:pos="4320"/>
        <w:tab w:val="right" w:pos="8640"/>
      </w:tabs>
    </w:pPr>
  </w:style>
  <w:style w:type="paragraph" w:styleId="Footer">
    <w:name w:val="footer"/>
    <w:basedOn w:val="Normal"/>
    <w:rsid w:val="00221EB5"/>
    <w:pPr>
      <w:tabs>
        <w:tab w:val="center" w:pos="4320"/>
        <w:tab w:val="right" w:pos="8640"/>
      </w:tabs>
    </w:pPr>
  </w:style>
  <w:style w:type="character" w:styleId="PageNumber">
    <w:name w:val="page number"/>
    <w:basedOn w:val="DefaultParagraphFont"/>
    <w:rsid w:val="00221E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F961C3"/>
    <w:pPr>
      <w:autoSpaceDE w:val="0"/>
      <w:autoSpaceDN w:val="0"/>
      <w:adjustRightInd w:val="0"/>
    </w:pPr>
    <w:rPr>
      <w:color w:val="000000"/>
      <w:sz w:val="24"/>
      <w:szCs w:val="24"/>
    </w:rPr>
  </w:style>
  <w:style w:type="paragraph" w:styleId="BodyText">
    <w:name w:val="Body Text"/>
    <w:basedOn w:val="Default"/>
    <w:next w:val="Default"/>
    <w:rsid w:val="00F961C3"/>
    <w:rPr>
      <w:color w:val="auto"/>
    </w:rPr>
  </w:style>
  <w:style w:type="paragraph" w:customStyle="1" w:styleId="FERCparanumber">
    <w:name w:val="FERC paranumber"/>
    <w:basedOn w:val="Normal"/>
    <w:link w:val="FERCparanumberChar1"/>
    <w:rsid w:val="00350BB8"/>
    <w:pPr>
      <w:widowControl w:val="0"/>
      <w:numPr>
        <w:numId w:val="1"/>
      </w:numPr>
      <w:autoSpaceDE w:val="0"/>
      <w:autoSpaceDN w:val="0"/>
      <w:adjustRightInd w:val="0"/>
    </w:pPr>
    <w:rPr>
      <w:sz w:val="26"/>
    </w:rPr>
  </w:style>
  <w:style w:type="character" w:customStyle="1" w:styleId="FERCparanumberChar1">
    <w:name w:val="FERC paranumber Char1"/>
    <w:basedOn w:val="DefaultParagraphFont"/>
    <w:link w:val="FERCparanumber"/>
    <w:rsid w:val="00350BB8"/>
    <w:rPr>
      <w:sz w:val="26"/>
      <w:szCs w:val="24"/>
      <w:lang w:val="en-US" w:eastAsia="en-US" w:bidi="ar-SA"/>
    </w:rPr>
  </w:style>
  <w:style w:type="character" w:styleId="FootnoteReference">
    <w:name w:val="footnote reference"/>
    <w:aliases w:val="o,fr,Style 17,Style 13,Style 12,Style 15,Style 9,o1,fr1,o2,fr2,o3,fr3,Style 18,(NECG) Footnote Reference,Style 20,Style 7,Style 8"/>
    <w:basedOn w:val="DefaultParagraphFont"/>
    <w:rsid w:val="00350BB8"/>
    <w:rPr>
      <w:rFonts w:ascii="Times New Roman" w:hAnsi="Times New Roman"/>
      <w:b/>
      <w:sz w:val="26"/>
      <w:szCs w:val="26"/>
      <w:vertAlign w:val="superscript"/>
    </w:rPr>
  </w:style>
  <w:style w:type="paragraph" w:styleId="FootnoteText">
    <w:name w:val="footnote text"/>
    <w:aliases w:val="Footnote Text Char1,Footnote Text Char Char,fn Char Char,Footnote Text Char1 Char1 Char,Footnote Text Char Char Char1 Char,Footnote Text Char1 Char Char Char,Footnote Text Char Char Char Char Char,Footnote Text Char Char1,ft,fn,fn Char"/>
    <w:basedOn w:val="Normal"/>
    <w:link w:val="FootnoteTextChar"/>
    <w:rsid w:val="00350BB8"/>
    <w:pPr>
      <w:widowControl w:val="0"/>
      <w:autoSpaceDE w:val="0"/>
      <w:autoSpaceDN w:val="0"/>
      <w:adjustRightInd w:val="0"/>
      <w:spacing w:after="260"/>
      <w:ind w:firstLine="720"/>
    </w:pPr>
    <w:rPr>
      <w:sz w:val="26"/>
      <w:szCs w:val="20"/>
    </w:rPr>
  </w:style>
  <w:style w:type="character" w:customStyle="1" w:styleId="FootnoteTextChar">
    <w:name w:val="Footnote Text Char"/>
    <w:aliases w:val="Footnote Text Char1 Char,Footnote Text Char Char Char,fn Char Char Char,Footnote Text Char1 Char1 Char Char,Footnote Text Char Char Char1 Char Char,Footnote Text Char1 Char Char Char Char,Footnote Text Char Char Char Char Char Char"/>
    <w:basedOn w:val="DefaultParagraphFont"/>
    <w:link w:val="FootnoteText"/>
    <w:rsid w:val="00350BB8"/>
    <w:rPr>
      <w:sz w:val="26"/>
      <w:lang w:val="en-US" w:eastAsia="en-US" w:bidi="ar-SA"/>
    </w:rPr>
  </w:style>
  <w:style w:type="paragraph" w:styleId="BalloonText">
    <w:name w:val="Balloon Text"/>
    <w:basedOn w:val="Normal"/>
    <w:semiHidden/>
    <w:rsid w:val="00350BB8"/>
    <w:rPr>
      <w:rFonts w:ascii="Tahoma" w:hAnsi="Tahoma" w:cs="Tahoma"/>
      <w:sz w:val="16"/>
      <w:szCs w:val="16"/>
    </w:rPr>
  </w:style>
  <w:style w:type="paragraph" w:styleId="Header">
    <w:name w:val="header"/>
    <w:basedOn w:val="Normal"/>
    <w:rsid w:val="00221EB5"/>
    <w:pPr>
      <w:tabs>
        <w:tab w:val="center" w:pos="4320"/>
        <w:tab w:val="right" w:pos="8640"/>
      </w:tabs>
    </w:pPr>
  </w:style>
  <w:style w:type="paragraph" w:styleId="Footer">
    <w:name w:val="footer"/>
    <w:basedOn w:val="Normal"/>
    <w:rsid w:val="00221EB5"/>
    <w:pPr>
      <w:tabs>
        <w:tab w:val="center" w:pos="4320"/>
        <w:tab w:val="right" w:pos="8640"/>
      </w:tabs>
    </w:pPr>
  </w:style>
  <w:style w:type="character" w:styleId="PageNumber">
    <w:name w:val="page number"/>
    <w:basedOn w:val="DefaultParagraphFont"/>
    <w:rsid w:val="00221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934</Words>
  <Characters>5327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Pursuant to the Board’s order in docket ______ on [Date], Washington Electric Cooperative, Inc</vt:lpstr>
    </vt:vector>
  </TitlesOfParts>
  <Company>NRUCFC</Company>
  <LinksUpToDate>false</LinksUpToDate>
  <CharactersWithSpaces>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Pursuant to the Board’s order in docket ______ on [Date], Washington Electric Cooperative, Inc</dc:title>
  <dc:creator>edwardb</dc:creator>
  <cp:lastModifiedBy>Cheryl Willette</cp:lastModifiedBy>
  <cp:revision>2</cp:revision>
  <cp:lastPrinted>2012-10-03T13:58:00Z</cp:lastPrinted>
  <dcterms:created xsi:type="dcterms:W3CDTF">2012-10-04T16:38:00Z</dcterms:created>
  <dcterms:modified xsi:type="dcterms:W3CDTF">2012-10-04T16:38:00Z</dcterms:modified>
</cp:coreProperties>
</file>