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8299B" w14:textId="77777777" w:rsidR="00874039" w:rsidRDefault="00874039" w:rsidP="00874039">
      <w:pPr>
        <w:pStyle w:val="BodyText"/>
        <w:kinsoku w:val="0"/>
        <w:overflowPunct w:val="0"/>
        <w:spacing w:before="79"/>
        <w:ind w:left="3052" w:right="3047" w:firstLine="547"/>
      </w:pPr>
      <w:r>
        <w:t>STATE OF VERMONT</w:t>
      </w:r>
      <w:r>
        <w:rPr>
          <w:spacing w:val="1"/>
        </w:rPr>
        <w:t xml:space="preserve"> </w:t>
      </w:r>
      <w:r>
        <w:t>PUBLIC</w:t>
      </w:r>
      <w:r>
        <w:rPr>
          <w:spacing w:val="-6"/>
        </w:rPr>
        <w:t xml:space="preserve"> </w:t>
      </w:r>
      <w:r>
        <w:t>UTILITY</w:t>
      </w:r>
      <w:r>
        <w:rPr>
          <w:spacing w:val="-7"/>
        </w:rPr>
        <w:t xml:space="preserve"> </w:t>
      </w:r>
      <w:r>
        <w:t>COMMISSION</w:t>
      </w:r>
    </w:p>
    <w:p w14:paraId="0060E4D9" w14:textId="77777777" w:rsidR="00874039" w:rsidRDefault="00874039" w:rsidP="00874039">
      <w:pPr>
        <w:pStyle w:val="BodyText"/>
        <w:kinsoku w:val="0"/>
        <w:overflowPunct w:val="0"/>
        <w:spacing w:before="2"/>
        <w:rPr>
          <w:sz w:val="16"/>
          <w:szCs w:val="16"/>
        </w:rPr>
      </w:pPr>
    </w:p>
    <w:p w14:paraId="2037FB87" w14:textId="77777777" w:rsidR="00874039" w:rsidRDefault="00874039" w:rsidP="00874039">
      <w:pPr>
        <w:pStyle w:val="BodyText"/>
        <w:kinsoku w:val="0"/>
        <w:overflowPunct w:val="0"/>
        <w:spacing w:before="90"/>
        <w:ind w:left="100"/>
        <w:jc w:val="both"/>
      </w:pPr>
      <w:r>
        <w:t>Case</w:t>
      </w:r>
      <w:r>
        <w:rPr>
          <w:spacing w:val="-3"/>
        </w:rPr>
        <w:t xml:space="preserve"> </w:t>
      </w:r>
      <w:r>
        <w:t>No.</w:t>
      </w:r>
      <w:r>
        <w:rPr>
          <w:spacing w:val="-1"/>
        </w:rPr>
        <w:t xml:space="preserve"> </w:t>
      </w:r>
      <w:r>
        <w:t>20-0203-INV</w:t>
      </w:r>
    </w:p>
    <w:p w14:paraId="1EB92158" w14:textId="77777777" w:rsidR="00874039" w:rsidRDefault="00874039" w:rsidP="00874039">
      <w:pPr>
        <w:pStyle w:val="BodyText"/>
        <w:kinsoku w:val="0"/>
        <w:overflowPunct w:val="0"/>
      </w:pPr>
    </w:p>
    <w:p w14:paraId="3F40F0C7" w14:textId="07EBCD04" w:rsidR="00874039" w:rsidRDefault="00874039" w:rsidP="00874039">
      <w:pPr>
        <w:pStyle w:val="BodyText"/>
        <w:tabs>
          <w:tab w:val="left" w:pos="4419"/>
        </w:tabs>
        <w:kinsoku w:val="0"/>
        <w:overflowPunct w:val="0"/>
        <w:ind w:left="100" w:right="5058"/>
        <w:jc w:val="both"/>
      </w:pPr>
      <w:r>
        <w:t>Investigation</w:t>
      </w:r>
      <w:r>
        <w:rPr>
          <w:spacing w:val="-2"/>
        </w:rPr>
        <w:t xml:space="preserve"> </w:t>
      </w:r>
      <w:r>
        <w:t>into</w:t>
      </w:r>
      <w:r>
        <w:rPr>
          <w:spacing w:val="-1"/>
        </w:rPr>
        <w:t xml:space="preserve"> </w:t>
      </w:r>
      <w:r>
        <w:t>the</w:t>
      </w:r>
      <w:r>
        <w:rPr>
          <w:spacing w:val="-2"/>
        </w:rPr>
        <w:t xml:space="preserve"> </w:t>
      </w:r>
      <w:r>
        <w:t>establishment</w:t>
      </w:r>
      <w:r>
        <w:rPr>
          <w:spacing w:val="-1"/>
        </w:rPr>
        <w:t xml:space="preserve"> </w:t>
      </w:r>
      <w:r>
        <w:t>of</w:t>
      </w:r>
      <w:r>
        <w:tab/>
      </w:r>
      <w:r>
        <w:rPr>
          <w:spacing w:val="-4"/>
        </w:rPr>
        <w:t>)</w:t>
      </w:r>
      <w:r>
        <w:rPr>
          <w:spacing w:val="-58"/>
        </w:rPr>
        <w:t xml:space="preserve"> </w:t>
      </w:r>
      <w:r w:rsidR="004B0E1F">
        <w:t xml:space="preserve">reduced rates for low-income </w:t>
      </w:r>
      <w:r>
        <w:t>residential</w:t>
      </w:r>
      <w:r>
        <w:rPr>
          <w:spacing w:val="1"/>
        </w:rPr>
        <w:t xml:space="preserve"> </w:t>
      </w:r>
      <w:r>
        <w:t>)</w:t>
      </w:r>
      <w:r>
        <w:rPr>
          <w:spacing w:val="-57"/>
        </w:rPr>
        <w:t xml:space="preserve"> </w:t>
      </w:r>
      <w:r>
        <w:t>ratepayers</w:t>
      </w:r>
      <w:r>
        <w:rPr>
          <w:spacing w:val="-1"/>
        </w:rPr>
        <w:t xml:space="preserve"> </w:t>
      </w:r>
      <w:r>
        <w:t>of</w:t>
      </w:r>
      <w:r>
        <w:rPr>
          <w:spacing w:val="-2"/>
        </w:rPr>
        <w:t xml:space="preserve"> </w:t>
      </w:r>
      <w:r>
        <w:t>Vermont electric</w:t>
      </w:r>
      <w:r>
        <w:rPr>
          <w:spacing w:val="-2"/>
        </w:rPr>
        <w:t xml:space="preserve"> </w:t>
      </w:r>
      <w:r>
        <w:t>utilities</w:t>
      </w:r>
      <w:r>
        <w:rPr>
          <w:spacing w:val="11"/>
        </w:rPr>
        <w:t xml:space="preserve"> </w:t>
      </w:r>
      <w:r>
        <w:rPr>
          <w:spacing w:val="11"/>
        </w:rPr>
        <w:tab/>
      </w:r>
      <w:r>
        <w:t>)</w:t>
      </w:r>
    </w:p>
    <w:p w14:paraId="3961EAE5" w14:textId="77777777" w:rsidR="00874039" w:rsidRDefault="00874039" w:rsidP="00874039">
      <w:pPr>
        <w:pStyle w:val="BodyText"/>
        <w:kinsoku w:val="0"/>
        <w:overflowPunct w:val="0"/>
        <w:rPr>
          <w:sz w:val="20"/>
          <w:szCs w:val="20"/>
        </w:rPr>
      </w:pPr>
    </w:p>
    <w:p w14:paraId="7C7D1C8B" w14:textId="77777777" w:rsidR="00874039" w:rsidRDefault="00874039" w:rsidP="00874039">
      <w:pPr>
        <w:pStyle w:val="BodyText"/>
        <w:kinsoku w:val="0"/>
        <w:overflowPunct w:val="0"/>
        <w:rPr>
          <w:sz w:val="26"/>
          <w:szCs w:val="26"/>
        </w:rPr>
      </w:pPr>
      <w:r>
        <w:rPr>
          <w:noProof/>
        </w:rPr>
        <mc:AlternateContent>
          <mc:Choice Requires="wps">
            <w:drawing>
              <wp:anchor distT="0" distB="0" distL="0" distR="0" simplePos="0" relativeHeight="251659264" behindDoc="0" locked="0" layoutInCell="0" allowOverlap="1" wp14:anchorId="55138AFD" wp14:editId="69C7E6F2">
                <wp:simplePos x="0" y="0"/>
                <wp:positionH relativeFrom="page">
                  <wp:posOffset>2724785</wp:posOffset>
                </wp:positionH>
                <wp:positionV relativeFrom="paragraph">
                  <wp:posOffset>205105</wp:posOffset>
                </wp:positionV>
                <wp:extent cx="2322830" cy="6350"/>
                <wp:effectExtent l="635" t="0" r="635" b="3175"/>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2830" cy="6350"/>
                        </a:xfrm>
                        <a:custGeom>
                          <a:avLst/>
                          <a:gdLst>
                            <a:gd name="T0" fmla="*/ 3657 w 3658"/>
                            <a:gd name="T1" fmla="*/ 0 h 10"/>
                            <a:gd name="T2" fmla="*/ 0 w 3658"/>
                            <a:gd name="T3" fmla="*/ 0 h 10"/>
                            <a:gd name="T4" fmla="*/ 0 w 3658"/>
                            <a:gd name="T5" fmla="*/ 9 h 10"/>
                            <a:gd name="T6" fmla="*/ 3657 w 3658"/>
                            <a:gd name="T7" fmla="*/ 9 h 10"/>
                            <a:gd name="T8" fmla="*/ 3657 w 3658"/>
                            <a:gd name="T9" fmla="*/ 0 h 10"/>
                          </a:gdLst>
                          <a:ahLst/>
                          <a:cxnLst>
                            <a:cxn ang="0">
                              <a:pos x="T0" y="T1"/>
                            </a:cxn>
                            <a:cxn ang="0">
                              <a:pos x="T2" y="T3"/>
                            </a:cxn>
                            <a:cxn ang="0">
                              <a:pos x="T4" y="T5"/>
                            </a:cxn>
                            <a:cxn ang="0">
                              <a:pos x="T6" y="T7"/>
                            </a:cxn>
                            <a:cxn ang="0">
                              <a:pos x="T8" y="T9"/>
                            </a:cxn>
                          </a:cxnLst>
                          <a:rect l="0" t="0" r="r" b="b"/>
                          <a:pathLst>
                            <a:path w="3658" h="10">
                              <a:moveTo>
                                <a:pt x="3657" y="0"/>
                              </a:moveTo>
                              <a:lnTo>
                                <a:pt x="0" y="0"/>
                              </a:lnTo>
                              <a:lnTo>
                                <a:pt x="0" y="9"/>
                              </a:lnTo>
                              <a:lnTo>
                                <a:pt x="3657" y="9"/>
                              </a:lnTo>
                              <a:lnTo>
                                <a:pt x="36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041B3" id="Freeform 2" o:spid="_x0000_s1026" style="position:absolute;margin-left:214.55pt;margin-top:16.15pt;width:182.9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" o:allowincell="f" path="m3657,l,,,9r3657,l3657,xe" fillcolor="black" stroked="f">
                <v:path arrowok="t" o:connecttype="custom" o:connectlocs="2322195,0;0,0;0,5715;2322195,5715;2322195,0" o:connectangles="0,0,0,0,0"/>
                <w10:wrap type="topAndBottom" anchorx="page"/>
              </v:shape>
            </w:pict>
          </mc:Fallback>
        </mc:AlternateContent>
      </w:r>
    </w:p>
    <w:p w14:paraId="66BCFA07" w14:textId="77777777" w:rsidR="00874039" w:rsidRDefault="00874039" w:rsidP="00874039">
      <w:pPr>
        <w:pStyle w:val="BodyText"/>
        <w:kinsoku w:val="0"/>
        <w:overflowPunct w:val="0"/>
        <w:spacing w:before="9"/>
        <w:rPr>
          <w:sz w:val="17"/>
          <w:szCs w:val="17"/>
        </w:rPr>
      </w:pPr>
    </w:p>
    <w:p w14:paraId="7AD0D05B" w14:textId="77777777" w:rsidR="00874039" w:rsidRDefault="00874039" w:rsidP="00874039">
      <w:pPr>
        <w:pStyle w:val="BodyText"/>
        <w:kinsoku w:val="0"/>
        <w:overflowPunct w:val="0"/>
        <w:spacing w:before="90"/>
        <w:ind w:left="3836" w:right="3834" w:hanging="2"/>
        <w:jc w:val="center"/>
      </w:pPr>
      <w:r>
        <w:t>COMMENTS OF</w:t>
      </w:r>
      <w:r>
        <w:rPr>
          <w:spacing w:val="1"/>
        </w:rPr>
        <w:t xml:space="preserve"> </w:t>
      </w:r>
      <w:r>
        <w:t>AARP</w:t>
      </w:r>
      <w:r>
        <w:rPr>
          <w:spacing w:val="-13"/>
        </w:rPr>
        <w:t xml:space="preserve"> </w:t>
      </w:r>
      <w:r>
        <w:t>VERMONT</w:t>
      </w:r>
    </w:p>
    <w:p w14:paraId="37D62FE4" w14:textId="77777777" w:rsidR="00874039" w:rsidRDefault="00874039" w:rsidP="00874039">
      <w:pPr>
        <w:pStyle w:val="BodyText"/>
        <w:kinsoku w:val="0"/>
        <w:overflowPunct w:val="0"/>
        <w:spacing w:before="10"/>
        <w:rPr>
          <w:sz w:val="23"/>
          <w:szCs w:val="23"/>
        </w:rPr>
      </w:pPr>
      <w:r>
        <w:rPr>
          <w:noProof/>
        </w:rPr>
        <mc:AlternateContent>
          <mc:Choice Requires="wps">
            <w:drawing>
              <wp:anchor distT="0" distB="0" distL="0" distR="0" simplePos="0" relativeHeight="251660288" behindDoc="0" locked="0" layoutInCell="0" allowOverlap="1" wp14:anchorId="34F3C65B" wp14:editId="070D4EE1">
                <wp:simplePos x="0" y="0"/>
                <wp:positionH relativeFrom="page">
                  <wp:posOffset>2724785</wp:posOffset>
                </wp:positionH>
                <wp:positionV relativeFrom="paragraph">
                  <wp:posOffset>189230</wp:posOffset>
                </wp:positionV>
                <wp:extent cx="2322830" cy="6350"/>
                <wp:effectExtent l="635" t="0" r="635" b="3810"/>
                <wp:wrapTopAndBottom/>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2830" cy="6350"/>
                        </a:xfrm>
                        <a:custGeom>
                          <a:avLst/>
                          <a:gdLst>
                            <a:gd name="T0" fmla="*/ 3657 w 3658"/>
                            <a:gd name="T1" fmla="*/ 0 h 10"/>
                            <a:gd name="T2" fmla="*/ 0 w 3658"/>
                            <a:gd name="T3" fmla="*/ 0 h 10"/>
                            <a:gd name="T4" fmla="*/ 0 w 3658"/>
                            <a:gd name="T5" fmla="*/ 9 h 10"/>
                            <a:gd name="T6" fmla="*/ 3657 w 3658"/>
                            <a:gd name="T7" fmla="*/ 9 h 10"/>
                            <a:gd name="T8" fmla="*/ 3657 w 3658"/>
                            <a:gd name="T9" fmla="*/ 0 h 10"/>
                          </a:gdLst>
                          <a:ahLst/>
                          <a:cxnLst>
                            <a:cxn ang="0">
                              <a:pos x="T0" y="T1"/>
                            </a:cxn>
                            <a:cxn ang="0">
                              <a:pos x="T2" y="T3"/>
                            </a:cxn>
                            <a:cxn ang="0">
                              <a:pos x="T4" y="T5"/>
                            </a:cxn>
                            <a:cxn ang="0">
                              <a:pos x="T6" y="T7"/>
                            </a:cxn>
                            <a:cxn ang="0">
                              <a:pos x="T8" y="T9"/>
                            </a:cxn>
                          </a:cxnLst>
                          <a:rect l="0" t="0" r="r" b="b"/>
                          <a:pathLst>
                            <a:path w="3658" h="10">
                              <a:moveTo>
                                <a:pt x="3657" y="0"/>
                              </a:moveTo>
                              <a:lnTo>
                                <a:pt x="0" y="0"/>
                              </a:lnTo>
                              <a:lnTo>
                                <a:pt x="0" y="9"/>
                              </a:lnTo>
                              <a:lnTo>
                                <a:pt x="3657" y="9"/>
                              </a:lnTo>
                              <a:lnTo>
                                <a:pt x="36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1BCA8F" id="Freeform 1" o:spid="_x0000_s1026" style="position:absolute;margin-left:214.55pt;margin-top:14.9pt;width:182.9pt;height:.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" o:allowincell="f" path="m3657,l,,,9r3657,l3657,xe" fillcolor="black" stroked="f">
                <v:path arrowok="t" o:connecttype="custom" o:connectlocs="2322195,0;0,0;0,5715;2322195,5715;2322195,0" o:connectangles="0,0,0,0,0"/>
                <w10:wrap type="topAndBottom" anchorx="page"/>
              </v:shape>
            </w:pict>
          </mc:Fallback>
        </mc:AlternateContent>
      </w:r>
    </w:p>
    <w:p w14:paraId="2EF808FC" w14:textId="77777777" w:rsidR="00874039" w:rsidRDefault="00874039" w:rsidP="00874039">
      <w:pPr>
        <w:pStyle w:val="BodyText"/>
        <w:kinsoku w:val="0"/>
        <w:overflowPunct w:val="0"/>
        <w:rPr>
          <w:sz w:val="20"/>
          <w:szCs w:val="20"/>
        </w:rPr>
      </w:pPr>
    </w:p>
    <w:p w14:paraId="7C7D6623" w14:textId="77777777" w:rsidR="00874039" w:rsidRDefault="00874039" w:rsidP="00874039">
      <w:pPr>
        <w:pStyle w:val="BodyText"/>
        <w:kinsoku w:val="0"/>
        <w:overflowPunct w:val="0"/>
        <w:spacing w:before="1"/>
        <w:rPr>
          <w:sz w:val="20"/>
          <w:szCs w:val="20"/>
        </w:rPr>
      </w:pPr>
    </w:p>
    <w:p w14:paraId="71C44E90" w14:textId="048FB142" w:rsidR="00874039" w:rsidRPr="00783E20" w:rsidRDefault="00874039" w:rsidP="00874039">
      <w:pPr>
        <w:pStyle w:val="BodyText"/>
        <w:kinsoku w:val="0"/>
        <w:overflowPunct w:val="0"/>
        <w:spacing w:before="90" w:line="480" w:lineRule="auto"/>
        <w:ind w:left="100" w:right="148" w:firstLine="720"/>
      </w:pPr>
      <w:r>
        <w:t xml:space="preserve">In response to the Order Requesting Information, issued by the </w:t>
      </w:r>
      <w:r w:rsidR="00585130">
        <w:t xml:space="preserve">Vermont </w:t>
      </w:r>
      <w:r>
        <w:t>Public Utility Commission (</w:t>
      </w:r>
      <w:r w:rsidR="00585130">
        <w:t xml:space="preserve">“VTPUC” or </w:t>
      </w:r>
      <w:r>
        <w:t xml:space="preserve">“Commission”), </w:t>
      </w:r>
      <w:r>
        <w:rPr>
          <w:rStyle w:val="FootnoteReference"/>
        </w:rPr>
        <w:footnoteReference w:id="1"/>
      </w:r>
      <w:r>
        <w:t xml:space="preserve"> AARP Vermont (</w:t>
      </w:r>
      <w:r w:rsidR="00006B20">
        <w:t>“</w:t>
      </w:r>
      <w:r>
        <w:t>AARP VT</w:t>
      </w:r>
      <w:r w:rsidR="00006B20">
        <w:t>”</w:t>
      </w:r>
      <w:r>
        <w:t>) submits the</w:t>
      </w:r>
      <w:r w:rsidR="00006B20">
        <w:t xml:space="preserve">se </w:t>
      </w:r>
      <w:r>
        <w:t>comments on behalf of our 1</w:t>
      </w:r>
      <w:r w:rsidR="00ED73B8">
        <w:t>2</w:t>
      </w:r>
      <w:r>
        <w:t>0,000</w:t>
      </w:r>
      <w:r>
        <w:rPr>
          <w:spacing w:val="1"/>
        </w:rPr>
        <w:t xml:space="preserve"> </w:t>
      </w:r>
      <w:r>
        <w:t>members</w:t>
      </w:r>
      <w:r>
        <w:rPr>
          <w:spacing w:val="-2"/>
        </w:rPr>
        <w:t xml:space="preserve"> </w:t>
      </w:r>
      <w:r>
        <w:t>and</w:t>
      </w:r>
      <w:r>
        <w:rPr>
          <w:spacing w:val="-1"/>
        </w:rPr>
        <w:t xml:space="preserve"> </w:t>
      </w:r>
      <w:r>
        <w:t>all</w:t>
      </w:r>
      <w:r>
        <w:rPr>
          <w:spacing w:val="-2"/>
        </w:rPr>
        <w:t xml:space="preserve"> </w:t>
      </w:r>
      <w:r>
        <w:t>older Vermonters</w:t>
      </w:r>
      <w:r>
        <w:rPr>
          <w:spacing w:val="-1"/>
        </w:rPr>
        <w:t xml:space="preserve"> </w:t>
      </w:r>
      <w:r>
        <w:t>throughout</w:t>
      </w:r>
      <w:r>
        <w:rPr>
          <w:spacing w:val="-2"/>
        </w:rPr>
        <w:t xml:space="preserve"> </w:t>
      </w:r>
      <w:r>
        <w:t>the state.</w:t>
      </w:r>
      <w:r>
        <w:rPr>
          <w:spacing w:val="-1"/>
        </w:rPr>
        <w:t xml:space="preserve"> </w:t>
      </w:r>
      <w:r w:rsidRPr="00783E20">
        <w:t>For</w:t>
      </w:r>
      <w:r w:rsidRPr="00783E20">
        <w:rPr>
          <w:spacing w:val="-3"/>
        </w:rPr>
        <w:t xml:space="preserve"> </w:t>
      </w:r>
      <w:r w:rsidRPr="00783E20">
        <w:t>the</w:t>
      </w:r>
      <w:r w:rsidRPr="00783E20">
        <w:rPr>
          <w:spacing w:val="-2"/>
        </w:rPr>
        <w:t xml:space="preserve"> </w:t>
      </w:r>
      <w:r w:rsidRPr="00783E20">
        <w:t>past</w:t>
      </w:r>
      <w:r w:rsidRPr="00783E20">
        <w:rPr>
          <w:spacing w:val="-1"/>
        </w:rPr>
        <w:t xml:space="preserve"> </w:t>
      </w:r>
      <w:r w:rsidRPr="00783E20">
        <w:t>two</w:t>
      </w:r>
      <w:r w:rsidRPr="00783E20">
        <w:rPr>
          <w:spacing w:val="-2"/>
        </w:rPr>
        <w:t xml:space="preserve"> </w:t>
      </w:r>
      <w:r w:rsidRPr="00783E20">
        <w:t>decades,</w:t>
      </w:r>
      <w:r w:rsidRPr="00783E20">
        <w:rPr>
          <w:spacing w:val="-1"/>
        </w:rPr>
        <w:t xml:space="preserve"> </w:t>
      </w:r>
      <w:r w:rsidRPr="00783E20">
        <w:t>AARP</w:t>
      </w:r>
      <w:r w:rsidRPr="00783E20">
        <w:rPr>
          <w:spacing w:val="-1"/>
        </w:rPr>
        <w:t xml:space="preserve"> </w:t>
      </w:r>
      <w:r w:rsidRPr="00783E20">
        <w:t>VT</w:t>
      </w:r>
      <w:r w:rsidRPr="00783E20">
        <w:rPr>
          <w:spacing w:val="-3"/>
        </w:rPr>
        <w:t xml:space="preserve"> </w:t>
      </w:r>
      <w:r w:rsidR="00585130">
        <w:t xml:space="preserve">has advocated </w:t>
      </w:r>
      <w:r w:rsidRPr="00783E20">
        <w:t>for programs that assure low-income households have reliable, affordable energy</w:t>
      </w:r>
      <w:r w:rsidRPr="00783E20">
        <w:rPr>
          <w:spacing w:val="1"/>
        </w:rPr>
        <w:t xml:space="preserve"> </w:t>
      </w:r>
      <w:r w:rsidRPr="00783E20">
        <w:t>services. In 2009, following years of advocacy for the passage of a law authorizing the VTPUC to set low-income electric rates, AARP VT filed a petition</w:t>
      </w:r>
      <w:r w:rsidRPr="00783E20">
        <w:rPr>
          <w:spacing w:val="1"/>
        </w:rPr>
        <w:t xml:space="preserve"> </w:t>
      </w:r>
      <w:r w:rsidRPr="00783E20">
        <w:t>that ultimately resulted in an order from the VTPUC implementing a low-income rate program</w:t>
      </w:r>
      <w:r w:rsidRPr="00783E20">
        <w:rPr>
          <w:spacing w:val="1"/>
        </w:rPr>
        <w:t xml:space="preserve"> </w:t>
      </w:r>
      <w:r w:rsidRPr="00783E20">
        <w:t>for what is now Green Mountain Power (</w:t>
      </w:r>
      <w:r w:rsidR="00585130">
        <w:t>“</w:t>
      </w:r>
      <w:r w:rsidRPr="00783E20">
        <w:t>GMP</w:t>
      </w:r>
      <w:r w:rsidR="00585130">
        <w:t>”</w:t>
      </w:r>
      <w:r w:rsidRPr="00783E20">
        <w:t>). In the 2011 final or</w:t>
      </w:r>
      <w:r w:rsidR="00585130">
        <w:t>der for Docket No. 7535, the V</w:t>
      </w:r>
      <w:r w:rsidRPr="00783E20">
        <w:t>TPUC</w:t>
      </w:r>
      <w:r w:rsidRPr="00783E20">
        <w:rPr>
          <w:spacing w:val="-1"/>
        </w:rPr>
        <w:t xml:space="preserve"> </w:t>
      </w:r>
      <w:r w:rsidRPr="00783E20">
        <w:t>stated:</w:t>
      </w:r>
    </w:p>
    <w:p w14:paraId="1306E247" w14:textId="77777777" w:rsidR="00874039" w:rsidRPr="00783E20" w:rsidRDefault="00874039" w:rsidP="00874039">
      <w:pPr>
        <w:pStyle w:val="BodyText"/>
        <w:kinsoku w:val="0"/>
        <w:overflowPunct w:val="0"/>
        <w:ind w:left="820" w:right="94"/>
      </w:pPr>
      <w:r w:rsidRPr="00783E20">
        <w:t>Electricity is a necessity for a safe and healthy household. In 2009, there were 11,901</w:t>
      </w:r>
      <w:r w:rsidRPr="00783E20">
        <w:rPr>
          <w:spacing w:val="1"/>
        </w:rPr>
        <w:t xml:space="preserve"> </w:t>
      </w:r>
      <w:r w:rsidRPr="00783E20">
        <w:t>instances</w:t>
      </w:r>
      <w:r w:rsidRPr="00783E20">
        <w:rPr>
          <w:spacing w:val="-2"/>
        </w:rPr>
        <w:t xml:space="preserve"> </w:t>
      </w:r>
      <w:r w:rsidRPr="00783E20">
        <w:t>in</w:t>
      </w:r>
      <w:r w:rsidRPr="00783E20">
        <w:rPr>
          <w:spacing w:val="-1"/>
        </w:rPr>
        <w:t xml:space="preserve"> </w:t>
      </w:r>
      <w:r w:rsidRPr="00783E20">
        <w:t>Vermont</w:t>
      </w:r>
      <w:r w:rsidRPr="00783E20">
        <w:rPr>
          <w:spacing w:val="-2"/>
        </w:rPr>
        <w:t xml:space="preserve"> </w:t>
      </w:r>
      <w:r w:rsidRPr="00783E20">
        <w:t>of electric</w:t>
      </w:r>
      <w:r w:rsidRPr="00783E20">
        <w:rPr>
          <w:spacing w:val="-3"/>
        </w:rPr>
        <w:t xml:space="preserve"> </w:t>
      </w:r>
      <w:r w:rsidRPr="00783E20">
        <w:t>service</w:t>
      </w:r>
      <w:r w:rsidRPr="00783E20">
        <w:rPr>
          <w:spacing w:val="-2"/>
        </w:rPr>
        <w:t xml:space="preserve"> </w:t>
      </w:r>
      <w:r w:rsidRPr="00783E20">
        <w:t>disconnection.</w:t>
      </w:r>
      <w:r w:rsidRPr="00783E20">
        <w:rPr>
          <w:spacing w:val="-2"/>
        </w:rPr>
        <w:t xml:space="preserve"> </w:t>
      </w:r>
      <w:r w:rsidRPr="00783E20">
        <w:t>To</w:t>
      </w:r>
      <w:r w:rsidRPr="00783E20">
        <w:rPr>
          <w:spacing w:val="-2"/>
        </w:rPr>
        <w:t xml:space="preserve"> </w:t>
      </w:r>
      <w:r w:rsidRPr="00783E20">
        <w:t>lose</w:t>
      </w:r>
      <w:r w:rsidRPr="00783E20">
        <w:rPr>
          <w:spacing w:val="-3"/>
        </w:rPr>
        <w:t xml:space="preserve"> </w:t>
      </w:r>
      <w:r w:rsidRPr="00783E20">
        <w:t>electricity</w:t>
      </w:r>
      <w:r w:rsidRPr="00783E20">
        <w:rPr>
          <w:spacing w:val="1"/>
        </w:rPr>
        <w:t xml:space="preserve"> </w:t>
      </w:r>
      <w:r w:rsidRPr="00783E20">
        <w:t>at</w:t>
      </w:r>
      <w:r w:rsidRPr="00783E20">
        <w:rPr>
          <w:spacing w:val="-2"/>
        </w:rPr>
        <w:t xml:space="preserve"> </w:t>
      </w:r>
      <w:r w:rsidRPr="00783E20">
        <w:t>a</w:t>
      </w:r>
      <w:r w:rsidRPr="00783E20">
        <w:rPr>
          <w:spacing w:val="-2"/>
        </w:rPr>
        <w:t xml:space="preserve"> </w:t>
      </w:r>
      <w:r w:rsidRPr="00783E20">
        <w:t>residence</w:t>
      </w:r>
      <w:r w:rsidRPr="00783E20">
        <w:rPr>
          <w:spacing w:val="-57"/>
        </w:rPr>
        <w:t xml:space="preserve"> </w:t>
      </w:r>
      <w:r w:rsidRPr="00783E20">
        <w:t>means to lose the light and heat of home.</w:t>
      </w:r>
      <w:r w:rsidRPr="00783E20">
        <w:rPr>
          <w:spacing w:val="1"/>
        </w:rPr>
        <w:t xml:space="preserve"> </w:t>
      </w:r>
      <w:r w:rsidRPr="00783E20">
        <w:t>Increasingly in our modern society, to be</w:t>
      </w:r>
      <w:r w:rsidRPr="00783E20">
        <w:rPr>
          <w:spacing w:val="1"/>
        </w:rPr>
        <w:t xml:space="preserve"> </w:t>
      </w:r>
      <w:r w:rsidRPr="00783E20">
        <w:t>without electricity also poses many social hardships, such as the loss of internet access</w:t>
      </w:r>
      <w:r w:rsidRPr="00783E20">
        <w:rPr>
          <w:spacing w:val="1"/>
        </w:rPr>
        <w:t xml:space="preserve"> </w:t>
      </w:r>
      <w:r w:rsidRPr="00783E20">
        <w:t>and, with that, the disruption of connections with schools, health-care providers,</w:t>
      </w:r>
      <w:r w:rsidRPr="00783E20">
        <w:rPr>
          <w:spacing w:val="1"/>
        </w:rPr>
        <w:t xml:space="preserve"> </w:t>
      </w:r>
      <w:r w:rsidRPr="00783E20">
        <w:t>employers and other community resources. Electricity is a necessity that many</w:t>
      </w:r>
      <w:r w:rsidRPr="00783E20">
        <w:rPr>
          <w:spacing w:val="1"/>
        </w:rPr>
        <w:t xml:space="preserve"> </w:t>
      </w:r>
      <w:r w:rsidRPr="00783E20">
        <w:t>Vermonters</w:t>
      </w:r>
      <w:r w:rsidRPr="00783E20">
        <w:rPr>
          <w:spacing w:val="-1"/>
        </w:rPr>
        <w:t xml:space="preserve"> </w:t>
      </w:r>
      <w:r w:rsidRPr="00783E20">
        <w:t>cannot afford.</w:t>
      </w:r>
    </w:p>
    <w:p w14:paraId="0A2369EE" w14:textId="77777777" w:rsidR="00874039" w:rsidRPr="00783E20" w:rsidRDefault="00874039" w:rsidP="00874039">
      <w:pPr>
        <w:pStyle w:val="BodyText"/>
        <w:kinsoku w:val="0"/>
        <w:overflowPunct w:val="0"/>
      </w:pPr>
    </w:p>
    <w:p w14:paraId="1ACEE3C4" w14:textId="745E9B34" w:rsidR="00006B20" w:rsidRDefault="00316E69" w:rsidP="00585130">
      <w:pPr>
        <w:pStyle w:val="BodyText"/>
        <w:kinsoku w:val="0"/>
        <w:overflowPunct w:val="0"/>
        <w:spacing w:line="480" w:lineRule="auto"/>
        <w:ind w:left="100" w:right="94" w:firstLine="720"/>
      </w:pPr>
      <w:r w:rsidRPr="00783E20">
        <w:lastRenderedPageBreak/>
        <w:t xml:space="preserve">A </w:t>
      </w:r>
      <w:r w:rsidR="00874039" w:rsidRPr="00783E20">
        <w:t>decade later, this statement by the VTPUC remains true. Electricity is an</w:t>
      </w:r>
      <w:r w:rsidR="00874039" w:rsidRPr="00783E20">
        <w:rPr>
          <w:spacing w:val="1"/>
        </w:rPr>
        <w:t xml:space="preserve"> </w:t>
      </w:r>
      <w:r w:rsidR="00874039" w:rsidRPr="00783E20">
        <w:t>essential</w:t>
      </w:r>
      <w:r w:rsidR="00874039" w:rsidRPr="00783E20">
        <w:rPr>
          <w:spacing w:val="-2"/>
        </w:rPr>
        <w:t xml:space="preserve"> </w:t>
      </w:r>
      <w:r w:rsidR="00874039" w:rsidRPr="00783E20">
        <w:t>service</w:t>
      </w:r>
      <w:r w:rsidR="00874039" w:rsidRPr="00783E20">
        <w:rPr>
          <w:spacing w:val="-2"/>
        </w:rPr>
        <w:t xml:space="preserve"> </w:t>
      </w:r>
      <w:r w:rsidR="00874039" w:rsidRPr="00783E20">
        <w:t>and</w:t>
      </w:r>
      <w:r w:rsidR="00874039" w:rsidRPr="00783E20">
        <w:rPr>
          <w:spacing w:val="-1"/>
        </w:rPr>
        <w:t xml:space="preserve"> </w:t>
      </w:r>
      <w:r w:rsidR="00874039" w:rsidRPr="00783E20">
        <w:t>it</w:t>
      </w:r>
      <w:r w:rsidR="00874039" w:rsidRPr="00783E20">
        <w:rPr>
          <w:spacing w:val="-1"/>
        </w:rPr>
        <w:t xml:space="preserve"> </w:t>
      </w:r>
      <w:r w:rsidR="00874039" w:rsidRPr="00783E20">
        <w:t>benefits</w:t>
      </w:r>
      <w:r w:rsidR="00874039" w:rsidRPr="00783E20">
        <w:rPr>
          <w:spacing w:val="-1"/>
        </w:rPr>
        <w:t xml:space="preserve"> </w:t>
      </w:r>
      <w:r w:rsidR="00874039" w:rsidRPr="00783E20">
        <w:t>all</w:t>
      </w:r>
      <w:r w:rsidR="00874039" w:rsidRPr="00783E20">
        <w:rPr>
          <w:spacing w:val="-1"/>
        </w:rPr>
        <w:t xml:space="preserve"> </w:t>
      </w:r>
      <w:r w:rsidR="00874039" w:rsidRPr="00783E20">
        <w:t>of</w:t>
      </w:r>
      <w:r w:rsidR="00874039" w:rsidRPr="00783E20">
        <w:rPr>
          <w:spacing w:val="-2"/>
        </w:rPr>
        <w:t xml:space="preserve"> </w:t>
      </w:r>
      <w:r w:rsidR="00874039" w:rsidRPr="00783E20">
        <w:t>us</w:t>
      </w:r>
      <w:r w:rsidR="00874039" w:rsidRPr="00783E20">
        <w:rPr>
          <w:spacing w:val="-2"/>
        </w:rPr>
        <w:t xml:space="preserve"> </w:t>
      </w:r>
      <w:r w:rsidR="00874039" w:rsidRPr="00783E20">
        <w:t>to</w:t>
      </w:r>
      <w:r w:rsidR="00874039" w:rsidRPr="00783E20">
        <w:rPr>
          <w:spacing w:val="-1"/>
        </w:rPr>
        <w:t xml:space="preserve"> </w:t>
      </w:r>
      <w:r w:rsidR="00874039" w:rsidRPr="00783E20">
        <w:t>assure</w:t>
      </w:r>
      <w:r w:rsidR="00874039" w:rsidRPr="00783E20">
        <w:rPr>
          <w:spacing w:val="-2"/>
        </w:rPr>
        <w:t xml:space="preserve"> </w:t>
      </w:r>
      <w:r w:rsidR="00874039" w:rsidRPr="00783E20">
        <w:t>that</w:t>
      </w:r>
      <w:r w:rsidR="00874039" w:rsidRPr="00783E20">
        <w:rPr>
          <w:spacing w:val="-1"/>
        </w:rPr>
        <w:t xml:space="preserve"> </w:t>
      </w:r>
      <w:r w:rsidR="00874039" w:rsidRPr="00783E20">
        <w:t>the</w:t>
      </w:r>
      <w:r w:rsidR="00874039" w:rsidRPr="00783E20">
        <w:rPr>
          <w:spacing w:val="-2"/>
        </w:rPr>
        <w:t xml:space="preserve"> </w:t>
      </w:r>
      <w:r w:rsidR="00874039" w:rsidRPr="00783E20">
        <w:t>most</w:t>
      </w:r>
      <w:r w:rsidR="00874039" w:rsidRPr="00783E20">
        <w:rPr>
          <w:spacing w:val="-1"/>
        </w:rPr>
        <w:t xml:space="preserve"> </w:t>
      </w:r>
      <w:r w:rsidR="00874039" w:rsidRPr="00783E20">
        <w:t>vulnerable Vermonters</w:t>
      </w:r>
      <w:r w:rsidR="00874039" w:rsidRPr="00783E20">
        <w:rPr>
          <w:spacing w:val="-2"/>
        </w:rPr>
        <w:t xml:space="preserve"> </w:t>
      </w:r>
      <w:r w:rsidR="00874039" w:rsidRPr="00783E20">
        <w:t>remain</w:t>
      </w:r>
      <w:r w:rsidR="00585130">
        <w:t xml:space="preserve"> </w:t>
      </w:r>
      <w:r w:rsidR="00874039" w:rsidRPr="00783E20">
        <w:t>connected.</w:t>
      </w:r>
      <w:r w:rsidR="00874039" w:rsidRPr="00783E20">
        <w:rPr>
          <w:spacing w:val="1"/>
        </w:rPr>
        <w:t xml:space="preserve"> </w:t>
      </w:r>
      <w:r w:rsidR="00874039" w:rsidRPr="00783E20">
        <w:t>In</w:t>
      </w:r>
      <w:r w:rsidR="00874039" w:rsidRPr="00783E20">
        <w:rPr>
          <w:spacing w:val="-1"/>
        </w:rPr>
        <w:t xml:space="preserve"> </w:t>
      </w:r>
      <w:r w:rsidR="00874039" w:rsidRPr="00783E20">
        <w:t>the</w:t>
      </w:r>
      <w:r w:rsidR="00874039" w:rsidRPr="00783E20">
        <w:rPr>
          <w:spacing w:val="-2"/>
        </w:rPr>
        <w:t xml:space="preserve"> </w:t>
      </w:r>
      <w:r w:rsidR="00874039" w:rsidRPr="00783E20">
        <w:t>years</w:t>
      </w:r>
      <w:r w:rsidR="00874039" w:rsidRPr="00783E20">
        <w:rPr>
          <w:spacing w:val="-1"/>
        </w:rPr>
        <w:t xml:space="preserve"> </w:t>
      </w:r>
      <w:r w:rsidR="00874039" w:rsidRPr="00783E20">
        <w:t>since</w:t>
      </w:r>
      <w:r w:rsidR="00874039" w:rsidRPr="00783E20">
        <w:rPr>
          <w:spacing w:val="-2"/>
        </w:rPr>
        <w:t xml:space="preserve"> </w:t>
      </w:r>
      <w:r w:rsidR="00874039" w:rsidRPr="00783E20">
        <w:t>the</w:t>
      </w:r>
      <w:r w:rsidR="00874039" w:rsidRPr="00783E20">
        <w:rPr>
          <w:spacing w:val="-2"/>
        </w:rPr>
        <w:t xml:space="preserve"> </w:t>
      </w:r>
      <w:r w:rsidR="00874039" w:rsidRPr="00783E20">
        <w:t>GMP electric</w:t>
      </w:r>
      <w:r w:rsidR="00874039" w:rsidRPr="00783E20">
        <w:rPr>
          <w:spacing w:val="-2"/>
        </w:rPr>
        <w:t xml:space="preserve"> </w:t>
      </w:r>
      <w:r w:rsidR="00874039" w:rsidRPr="00783E20">
        <w:t>assistance</w:t>
      </w:r>
      <w:r w:rsidR="00874039" w:rsidRPr="00783E20">
        <w:rPr>
          <w:spacing w:val="-1"/>
        </w:rPr>
        <w:t xml:space="preserve"> </w:t>
      </w:r>
      <w:r w:rsidR="00874039" w:rsidRPr="00783E20">
        <w:t>program</w:t>
      </w:r>
      <w:r w:rsidR="00874039" w:rsidRPr="00783E20">
        <w:rPr>
          <w:spacing w:val="-1"/>
        </w:rPr>
        <w:t xml:space="preserve"> </w:t>
      </w:r>
      <w:r w:rsidR="00874039" w:rsidRPr="00783E20">
        <w:t>was</w:t>
      </w:r>
      <w:r w:rsidR="00874039" w:rsidRPr="00783E20">
        <w:rPr>
          <w:spacing w:val="-1"/>
        </w:rPr>
        <w:t xml:space="preserve"> </w:t>
      </w:r>
      <w:r w:rsidR="00874039" w:rsidRPr="00783E20">
        <w:t>set</w:t>
      </w:r>
      <w:r w:rsidR="00874039" w:rsidRPr="00783E20">
        <w:rPr>
          <w:spacing w:val="-1"/>
        </w:rPr>
        <w:t xml:space="preserve"> </w:t>
      </w:r>
      <w:r w:rsidR="00874039" w:rsidRPr="00783E20">
        <w:t>up,</w:t>
      </w:r>
      <w:r w:rsidR="00874039" w:rsidRPr="00783E20">
        <w:rPr>
          <w:spacing w:val="-1"/>
        </w:rPr>
        <w:t xml:space="preserve"> </w:t>
      </w:r>
      <w:r w:rsidR="00874039" w:rsidRPr="00783E20">
        <w:t>AARP</w:t>
      </w:r>
      <w:r w:rsidR="00874039" w:rsidRPr="00783E20">
        <w:rPr>
          <w:spacing w:val="-1"/>
        </w:rPr>
        <w:t xml:space="preserve"> </w:t>
      </w:r>
      <w:r w:rsidR="00874039" w:rsidRPr="00783E20">
        <w:t>VT</w:t>
      </w:r>
      <w:r w:rsidR="00874039" w:rsidRPr="00783E20">
        <w:rPr>
          <w:spacing w:val="-2"/>
        </w:rPr>
        <w:t xml:space="preserve"> </w:t>
      </w:r>
      <w:r w:rsidR="00874039" w:rsidRPr="00783E20">
        <w:t>has</w:t>
      </w:r>
      <w:r w:rsidR="00585130">
        <w:t xml:space="preserve"> </w:t>
      </w:r>
      <w:r w:rsidR="00006B20" w:rsidRPr="00783E20">
        <w:t>continually worked with GMP and the relevant state agencies to evaluate and improve the</w:t>
      </w:r>
      <w:r w:rsidR="00006B20" w:rsidRPr="00783E20">
        <w:rPr>
          <w:spacing w:val="1"/>
        </w:rPr>
        <w:t xml:space="preserve"> </w:t>
      </w:r>
      <w:r w:rsidR="00006B20" w:rsidRPr="00783E20">
        <w:t xml:space="preserve">effectiveness and efficiency of </w:t>
      </w:r>
      <w:r w:rsidR="00585130">
        <w:t>GMP’s</w:t>
      </w:r>
      <w:r w:rsidR="00006B20" w:rsidRPr="00783E20">
        <w:t xml:space="preserve"> low-income electric discount program. The need for</w:t>
      </w:r>
      <w:r w:rsidR="00006B20" w:rsidRPr="00783E20">
        <w:rPr>
          <w:spacing w:val="1"/>
        </w:rPr>
        <w:t xml:space="preserve"> </w:t>
      </w:r>
      <w:r w:rsidR="00006B20" w:rsidRPr="00783E20">
        <w:t>affordable electric services impacts all of Vermont’s utility service territories and we look</w:t>
      </w:r>
      <w:r w:rsidR="00006B20" w:rsidRPr="00783E20">
        <w:rPr>
          <w:spacing w:val="1"/>
        </w:rPr>
        <w:t xml:space="preserve"> </w:t>
      </w:r>
      <w:r w:rsidR="00006B20" w:rsidRPr="00783E20">
        <w:t>forward to working with the VTPUC and all of the interested stakeholders to assure that low-income Vermonters stay connected to this essential service.</w:t>
      </w:r>
      <w:r w:rsidR="00006B20">
        <w:t xml:space="preserve">  </w:t>
      </w:r>
    </w:p>
    <w:p w14:paraId="0E04A614" w14:textId="2F1D5708" w:rsidR="00341C3A" w:rsidRDefault="00341C3A" w:rsidP="00341C3A">
      <w:pPr>
        <w:pStyle w:val="BodyText"/>
        <w:kinsoku w:val="0"/>
        <w:overflowPunct w:val="0"/>
        <w:spacing w:line="480" w:lineRule="auto"/>
        <w:ind w:left="100" w:right="200" w:firstLine="720"/>
      </w:pPr>
      <w:r>
        <w:t xml:space="preserve">AARP participated in the Commission’s workshop on July 8, 2021, </w:t>
      </w:r>
      <w:r w:rsidRPr="00341C3A">
        <w:t xml:space="preserve">during which the Vermont Department of Public Service (“Department”), </w:t>
      </w:r>
      <w:r w:rsidR="00585130">
        <w:t>GMP</w:t>
      </w:r>
      <w:r w:rsidRPr="00341C3A">
        <w:t>, and GDS Associates, Inc. (“GDS”) presented materials on GMP’s Energy Assistance Program (“EAP”), including the findings and recommendations from an evaluation of that program by GDS in 2019 (the “Evaluation”).</w:t>
      </w:r>
      <w:r>
        <w:t xml:space="preserve">  The Commission now seeks information “</w:t>
      </w:r>
      <w:r w:rsidRPr="00341C3A">
        <w:t>regarding the concept of a statewide mechanism for funding a program similar to the EAP and welcomes ideas regarding other potential ways to extend electric bill assistance to low-income customers of all Vermont utilities</w:t>
      </w:r>
      <w:r>
        <w:t>” and has also directed GMP, with the Department and GDS “</w:t>
      </w:r>
      <w:r w:rsidRPr="00341C3A">
        <w:t>to provide additional, detailed information to the Commission regarding the recommendations from the Evaluation.</w:t>
      </w:r>
      <w:r>
        <w:t>”</w:t>
      </w:r>
    </w:p>
    <w:p w14:paraId="636418DE" w14:textId="1F96BFFF" w:rsidR="00006B20" w:rsidRDefault="00006B20" w:rsidP="00006B20">
      <w:pPr>
        <w:pStyle w:val="BodyText"/>
        <w:kinsoku w:val="0"/>
        <w:overflowPunct w:val="0"/>
        <w:spacing w:line="480" w:lineRule="auto"/>
        <w:ind w:left="100" w:right="200" w:firstLine="720"/>
      </w:pPr>
      <w:r>
        <w:t>AARP VT is submitting responses to the Commission’s questions that are not directed</w:t>
      </w:r>
      <w:r>
        <w:rPr>
          <w:spacing w:val="1"/>
        </w:rPr>
        <w:t xml:space="preserve"> </w:t>
      </w:r>
      <w:r>
        <w:t>solely to electric utilities.</w:t>
      </w:r>
      <w:r w:rsidR="00D12031">
        <w:rPr>
          <w:rStyle w:val="FootnoteReference"/>
        </w:rPr>
        <w:footnoteReference w:id="2"/>
      </w:r>
      <w:r>
        <w:rPr>
          <w:spacing w:val="1"/>
        </w:rPr>
        <w:t xml:space="preserve"> </w:t>
      </w:r>
      <w:r w:rsidR="00D12031">
        <w:rPr>
          <w:spacing w:val="1"/>
        </w:rPr>
        <w:t xml:space="preserve"> </w:t>
      </w:r>
      <w:r w:rsidR="00341C3A">
        <w:rPr>
          <w:spacing w:val="1"/>
        </w:rPr>
        <w:t>Although</w:t>
      </w:r>
      <w:r w:rsidR="00316E69">
        <w:rPr>
          <w:spacing w:val="1"/>
        </w:rPr>
        <w:t xml:space="preserve">, in its </w:t>
      </w:r>
      <w:r w:rsidR="00316E69">
        <w:rPr>
          <w:i/>
          <w:spacing w:val="1"/>
        </w:rPr>
        <w:t>Order,</w:t>
      </w:r>
      <w:r w:rsidR="00341C3A">
        <w:rPr>
          <w:spacing w:val="1"/>
        </w:rPr>
        <w:t xml:space="preserve"> t</w:t>
      </w:r>
      <w:r>
        <w:rPr>
          <w:spacing w:val="1"/>
        </w:rPr>
        <w:t>he Commission</w:t>
      </w:r>
      <w:r w:rsidR="00341C3A">
        <w:rPr>
          <w:spacing w:val="1"/>
        </w:rPr>
        <w:t xml:space="preserve"> does not request </w:t>
      </w:r>
      <w:r>
        <w:rPr>
          <w:spacing w:val="1"/>
        </w:rPr>
        <w:t>reply comments</w:t>
      </w:r>
      <w:r w:rsidR="00341C3A">
        <w:rPr>
          <w:spacing w:val="1"/>
        </w:rPr>
        <w:t xml:space="preserve">, AARP intends, nonetheless, to review GMP’s response to the Commission’s </w:t>
      </w:r>
      <w:r w:rsidR="00341C3A">
        <w:rPr>
          <w:i/>
          <w:spacing w:val="1"/>
        </w:rPr>
        <w:t>Order</w:t>
      </w:r>
      <w:r w:rsidR="00585130">
        <w:rPr>
          <w:spacing w:val="1"/>
        </w:rPr>
        <w:t xml:space="preserve"> </w:t>
      </w:r>
      <w:r w:rsidR="00316E69">
        <w:rPr>
          <w:spacing w:val="1"/>
        </w:rPr>
        <w:t xml:space="preserve">so that we are prepared to participate in future formal and informal discussions regarding energy assistance in Vermont.  </w:t>
      </w:r>
      <w:r>
        <w:t>We</w:t>
      </w:r>
      <w:r>
        <w:rPr>
          <w:spacing w:val="-2"/>
        </w:rPr>
        <w:t xml:space="preserve"> </w:t>
      </w:r>
      <w:r>
        <w:t xml:space="preserve">are </w:t>
      </w:r>
      <w:r w:rsidR="00316E69">
        <w:t xml:space="preserve">also </w:t>
      </w:r>
      <w:r>
        <w:t>prepared to</w:t>
      </w:r>
      <w:r>
        <w:rPr>
          <w:spacing w:val="-1"/>
        </w:rPr>
        <w:t xml:space="preserve"> </w:t>
      </w:r>
      <w:r>
        <w:t xml:space="preserve">participate fully in any hearings, </w:t>
      </w:r>
      <w:r>
        <w:lastRenderedPageBreak/>
        <w:t>workshops, or technical conferences the Commission may hold in this matter.</w:t>
      </w:r>
      <w:r>
        <w:rPr>
          <w:spacing w:val="1"/>
        </w:rPr>
        <w:t xml:space="preserve"> </w:t>
      </w:r>
      <w:r>
        <w:t>Following</w:t>
      </w:r>
      <w:r>
        <w:rPr>
          <w:spacing w:val="-1"/>
        </w:rPr>
        <w:t xml:space="preserve"> </w:t>
      </w:r>
      <w:r>
        <w:t>are</w:t>
      </w:r>
      <w:r>
        <w:rPr>
          <w:spacing w:val="1"/>
        </w:rPr>
        <w:t xml:space="preserve"> </w:t>
      </w:r>
      <w:r>
        <w:t>AARP VT’s responses</w:t>
      </w:r>
      <w:r>
        <w:rPr>
          <w:spacing w:val="-1"/>
        </w:rPr>
        <w:t xml:space="preserve"> </w:t>
      </w:r>
      <w:r>
        <w:t>to the</w:t>
      </w:r>
      <w:r>
        <w:rPr>
          <w:spacing w:val="-1"/>
        </w:rPr>
        <w:t xml:space="preserve"> </w:t>
      </w:r>
      <w:r>
        <w:t>Commission’s questions.</w:t>
      </w:r>
    </w:p>
    <w:p w14:paraId="121AE10E" w14:textId="77777777" w:rsidR="00CA1AC8" w:rsidRPr="007562AA" w:rsidRDefault="00CA1AC8" w:rsidP="00CA1AC8">
      <w:pPr>
        <w:pStyle w:val="BodyText"/>
        <w:numPr>
          <w:ilvl w:val="0"/>
          <w:numId w:val="1"/>
        </w:numPr>
        <w:kinsoku w:val="0"/>
        <w:overflowPunct w:val="0"/>
        <w:spacing w:line="480" w:lineRule="auto"/>
        <w:ind w:right="94"/>
        <w:rPr>
          <w:b/>
        </w:rPr>
      </w:pPr>
      <w:r w:rsidRPr="007562AA">
        <w:rPr>
          <w:b/>
        </w:rPr>
        <w:t>What are the utilities’ and other stakeholders’ views on creating a statewide funding mechanism to fund low-income bill assistance for all utility customers?</w:t>
      </w:r>
    </w:p>
    <w:p w14:paraId="2C3898D9" w14:textId="72E22A2E" w:rsidR="00CA1AC8" w:rsidRDefault="007562AA" w:rsidP="00C259A5">
      <w:pPr>
        <w:pStyle w:val="BodyText"/>
        <w:kinsoku w:val="0"/>
        <w:overflowPunct w:val="0"/>
        <w:spacing w:line="480" w:lineRule="auto"/>
        <w:ind w:right="94" w:firstLine="720"/>
      </w:pPr>
      <w:r>
        <w:t xml:space="preserve">Poverty does not occur uniformly throughout the state.  </w:t>
      </w:r>
      <w:r w:rsidR="00C259A5">
        <w:t xml:space="preserve">Therefore, </w:t>
      </w:r>
      <w:r>
        <w:t>AARP supports fully a statewide funding mechanism to fund low-income bill assistance for all utility customers</w:t>
      </w:r>
      <w:r w:rsidR="00316E69">
        <w:t xml:space="preserve"> so that the cost and benefits of such assistance are distributed evenly throughout the state</w:t>
      </w:r>
      <w:r w:rsidR="00D5385D">
        <w:t xml:space="preserve">, provided such </w:t>
      </w:r>
      <w:r w:rsidR="00585130">
        <w:t>a fund can be established with</w:t>
      </w:r>
      <w:r w:rsidR="00D5385D">
        <w:t xml:space="preserve"> reasonable administrative costs</w:t>
      </w:r>
      <w:r w:rsidR="00C259A5">
        <w:t xml:space="preserve">.  </w:t>
      </w:r>
      <w:r w:rsidR="00D5385D">
        <w:t>Also,</w:t>
      </w:r>
      <w:r w:rsidR="00C259A5">
        <w:t xml:space="preserve"> AARP qualifies our support for a statewide funding mechanism with the understa</w:t>
      </w:r>
      <w:r w:rsidR="00316E69">
        <w:t xml:space="preserve">nding that, pending deliberations about and the implementation of such a statewide fund, such </w:t>
      </w:r>
      <w:r w:rsidR="00C259A5">
        <w:t>efforts to design</w:t>
      </w:r>
      <w:r w:rsidR="00316E69">
        <w:t xml:space="preserve"> this</w:t>
      </w:r>
      <w:r w:rsidR="00C259A5">
        <w:t xml:space="preserve"> mechanism do not interfere with or jeopardize the </w:t>
      </w:r>
      <w:r>
        <w:t>existing, successful GMP program</w:t>
      </w:r>
      <w:r w:rsidR="00316E69">
        <w:t xml:space="preserve">.  </w:t>
      </w:r>
      <w:r w:rsidR="00C259A5">
        <w:t>Specifically a</w:t>
      </w:r>
      <w:r>
        <w:t xml:space="preserve">ny statewide funding mechanism should be transitioned smoothly so that </w:t>
      </w:r>
      <w:r w:rsidR="00C259A5">
        <w:t>GMP consumers who now rely on GMP’s energy assistance</w:t>
      </w:r>
      <w:r w:rsidR="00883528">
        <w:t xml:space="preserve"> program</w:t>
      </w:r>
      <w:r w:rsidR="00C259A5">
        <w:t xml:space="preserve"> do no</w:t>
      </w:r>
      <w:r w:rsidR="00D5385D">
        <w:t>t</w:t>
      </w:r>
      <w:r w:rsidR="00C259A5">
        <w:t xml:space="preserve"> lose such support unless and until comparable support is offered through the new state funding mechanism</w:t>
      </w:r>
      <w:r>
        <w:t>.</w:t>
      </w:r>
    </w:p>
    <w:p w14:paraId="124C909B" w14:textId="77777777" w:rsidR="00CA1AC8" w:rsidRPr="007562AA" w:rsidRDefault="00CA1AC8" w:rsidP="00CA1AC8">
      <w:pPr>
        <w:pStyle w:val="BodyText"/>
        <w:numPr>
          <w:ilvl w:val="0"/>
          <w:numId w:val="1"/>
        </w:numPr>
        <w:kinsoku w:val="0"/>
        <w:overflowPunct w:val="0"/>
        <w:spacing w:line="480" w:lineRule="auto"/>
        <w:ind w:right="94"/>
        <w:rPr>
          <w:b/>
        </w:rPr>
      </w:pPr>
      <w:r w:rsidRPr="007562AA">
        <w:rPr>
          <w:b/>
        </w:rPr>
        <w:t>How could such an approach be executed under the current legal framework of 30 V.S.A. § 218(e), which provides that “the Commission . . . may issue an order approving a rate schedule, tariff, agreement, contract, or settlement that provides reduced rates for low income electric utility consumers”?</w:t>
      </w:r>
    </w:p>
    <w:p w14:paraId="1E5440A2" w14:textId="77777777" w:rsidR="0031322B" w:rsidRDefault="0031322B" w:rsidP="0031322B">
      <w:pPr>
        <w:pStyle w:val="BodyText"/>
        <w:kinsoku w:val="0"/>
        <w:overflowPunct w:val="0"/>
        <w:spacing w:line="480" w:lineRule="auto"/>
        <w:ind w:right="94" w:firstLine="720"/>
      </w:pPr>
      <w:r>
        <w:t>The language that the Commission refers to is as follows:</w:t>
      </w:r>
    </w:p>
    <w:p w14:paraId="214054C7" w14:textId="18053BB9" w:rsidR="0031322B" w:rsidRDefault="0031322B" w:rsidP="0031322B">
      <w:pPr>
        <w:pStyle w:val="BodyText"/>
        <w:kinsoku w:val="0"/>
        <w:overflowPunct w:val="0"/>
        <w:ind w:left="720" w:right="720"/>
      </w:pPr>
      <w:r w:rsidRPr="0031322B">
        <w:t xml:space="preserve">Notwithstanding any other provisions of this section, the Commission, on its own motion or upon petition of any person, may issue an order approving a rate schedule, tariff, agreement, contract, or settlement that provides reduced rates for low-income electric utility consumers better to assure affordability. </w:t>
      </w:r>
      <w:r w:rsidR="000B232A">
        <w:t>As used in t</w:t>
      </w:r>
      <w:r w:rsidRPr="0031322B">
        <w:t>his subsection, "low-income electric utility consumer" means a customer who has a</w:t>
      </w:r>
      <w:r w:rsidR="00783E20">
        <w:t xml:space="preserve"> household income at or below 185 </w:t>
      </w:r>
      <w:r w:rsidRPr="0031322B">
        <w:t xml:space="preserve">percent of the current federal poverty level. When considering whether to approve a rate schedule, tariff, agreement, contract, or settlement for low-income electric utility consumers, the Commission shall take into </w:t>
      </w:r>
      <w:r w:rsidRPr="0031322B">
        <w:lastRenderedPageBreak/>
        <w:t>account the potential impact on, and cost-shifting to, other utility customers.</w:t>
      </w:r>
    </w:p>
    <w:p w14:paraId="3C012C89" w14:textId="77777777" w:rsidR="0031322B" w:rsidRDefault="0031322B" w:rsidP="0031322B">
      <w:pPr>
        <w:pStyle w:val="BodyText"/>
        <w:kinsoku w:val="0"/>
        <w:overflowPunct w:val="0"/>
        <w:ind w:left="720" w:right="720"/>
      </w:pPr>
    </w:p>
    <w:p w14:paraId="1416603C" w14:textId="0C9EF011" w:rsidR="00D5385D" w:rsidRDefault="00D5385D" w:rsidP="0031322B">
      <w:pPr>
        <w:pStyle w:val="BodyText"/>
        <w:kinsoku w:val="0"/>
        <w:overflowPunct w:val="0"/>
        <w:spacing w:line="480" w:lineRule="auto"/>
        <w:ind w:right="94"/>
      </w:pPr>
      <w:r>
        <w:t xml:space="preserve">This language clearly authorizes low-income rates such as those offered by GMP, where GMP recovers the cost of its low-income program from other ratepayers (and the Commission has taken into account this impact).  The broader question is whether one utility can recover the cost of its program from the ratepayers of another utility.  </w:t>
      </w:r>
      <w:r w:rsidR="0031322B">
        <w:t>As AARP understands this language, the Commission has the authority to establish a statewide funding mechanism</w:t>
      </w:r>
      <w:r w:rsidR="00247C38">
        <w:t xml:space="preserve"> through rates</w:t>
      </w:r>
      <w:r>
        <w:t xml:space="preserve">, provided that the Commission takes into account the potential impact on and cost-shifting to all utilities’ customers, viewed in their entirety. </w:t>
      </w:r>
    </w:p>
    <w:p w14:paraId="1584B289" w14:textId="06A589F0" w:rsidR="0031322B" w:rsidRDefault="0031322B" w:rsidP="005419D1">
      <w:pPr>
        <w:pStyle w:val="BodyText"/>
        <w:kinsoku w:val="0"/>
        <w:overflowPunct w:val="0"/>
        <w:spacing w:line="480" w:lineRule="auto"/>
        <w:ind w:right="94" w:firstLine="720"/>
      </w:pPr>
      <w:r>
        <w:t>The issue</w:t>
      </w:r>
      <w:r w:rsidR="00D5385D">
        <w:t xml:space="preserve"> </w:t>
      </w:r>
      <w:r>
        <w:t xml:space="preserve">is </w:t>
      </w:r>
      <w:r w:rsidR="00D5385D">
        <w:t>how mechanically to provide for any individual utility’s</w:t>
      </w:r>
      <w:r>
        <w:t xml:space="preserve"> recovery of the foregone revenues associated with sub</w:t>
      </w:r>
      <w:r w:rsidR="00D5385D">
        <w:t>sidizing</w:t>
      </w:r>
      <w:r>
        <w:t xml:space="preserve"> low-income service.  The intent would not be that each utility separately recover foregone revenues from its </w:t>
      </w:r>
      <w:r w:rsidR="00D5385D">
        <w:t xml:space="preserve">own set of </w:t>
      </w:r>
      <w:r w:rsidR="00883528">
        <w:t>ratepayers but rather that</w:t>
      </w:r>
      <w:r>
        <w:t xml:space="preserve"> the foregone revenues be recovered across the entire uni</w:t>
      </w:r>
      <w:r w:rsidR="00783E20">
        <w:t>verse of all utility ratepayers.</w:t>
      </w:r>
      <w:r>
        <w:t xml:space="preserve">  This would require some type of “truing up” and transfer of monies from one utility to another utility</w:t>
      </w:r>
      <w:r w:rsidR="00883528">
        <w:t xml:space="preserve">.  Specifically, </w:t>
      </w:r>
      <w:r w:rsidR="00D5385D">
        <w:t>it would necessitate</w:t>
      </w:r>
      <w:r>
        <w:t xml:space="preserve"> an implicit transfer from the utilities with below-average percentages of low-income households to the utilities with above-average percentages of low-income households.  In some instances, such as the town of Johnson, although the percentage of low-income households is high, the absolute number of such households is low and so measured in absolute dollars the transfer would be small.  The challenge is to create a program that is administratively simple</w:t>
      </w:r>
      <w:r w:rsidR="00D5385D">
        <w:t xml:space="preserve"> and fair to all ratepayers</w:t>
      </w:r>
      <w:r>
        <w:t>.</w:t>
      </w:r>
      <w:r w:rsidR="00D5385D">
        <w:rPr>
          <w:rStyle w:val="FootnoteReference"/>
        </w:rPr>
        <w:footnoteReference w:id="3"/>
      </w:r>
      <w:r>
        <w:t xml:space="preserve">  One model could be the telephone universal service funds</w:t>
      </w:r>
      <w:r w:rsidR="00D5385D">
        <w:t>, which</w:t>
      </w:r>
      <w:r>
        <w:t xml:space="preserve"> some states maintain, where all </w:t>
      </w:r>
      <w:r w:rsidR="00D5385D">
        <w:t xml:space="preserve">companies assess a fee on their customers, which </w:t>
      </w:r>
      <w:r w:rsidR="003221C8">
        <w:t xml:space="preserve">supports a “universal service” fund, </w:t>
      </w:r>
      <w:r w:rsidR="00D5385D">
        <w:t xml:space="preserve">and companies draw from </w:t>
      </w:r>
      <w:r w:rsidR="003221C8">
        <w:t xml:space="preserve">this </w:t>
      </w:r>
      <w:r w:rsidR="00D5385D">
        <w:t xml:space="preserve">common fund to support their low-income subsidies. </w:t>
      </w:r>
      <w:r w:rsidR="003221C8">
        <w:t xml:space="preserve"> The concept is straightforward, but AARP acknowledges that </w:t>
      </w:r>
      <w:r w:rsidR="003221C8">
        <w:lastRenderedPageBreak/>
        <w:t>the administration of such a fund would entail some cost.  AARP is hopeful that utilities could design a mechanism for the auditable, straightforward transfer of monies if and as needed so that the burden of subsidizing low-income customers’ energy bills is shared evenly throughout the state.</w:t>
      </w:r>
      <w:r w:rsidR="00180A2E">
        <w:t xml:space="preserve">  Also the Commission could look to other states’ programs.</w:t>
      </w:r>
      <w:r w:rsidR="002C14B6">
        <w:rPr>
          <w:rStyle w:val="FootnoteReference"/>
        </w:rPr>
        <w:footnoteReference w:id="4"/>
      </w:r>
      <w:r w:rsidR="00180A2E">
        <w:t xml:space="preserve">  Although AARP prefers the option for low-income households to subscribe to subsidized low-income rates, another alternative is to have a state low-income energy assistance program and require residents to apply for assistance, such as is done in some states.</w:t>
      </w:r>
      <w:r w:rsidR="00180A2E">
        <w:rPr>
          <w:rStyle w:val="FootnoteReference"/>
        </w:rPr>
        <w:footnoteReference w:id="5"/>
      </w:r>
    </w:p>
    <w:p w14:paraId="1EC1E6BF" w14:textId="77777777" w:rsidR="00874039" w:rsidRDefault="00CA1AC8" w:rsidP="00CA1AC8">
      <w:pPr>
        <w:pStyle w:val="BodyText"/>
        <w:numPr>
          <w:ilvl w:val="0"/>
          <w:numId w:val="1"/>
        </w:numPr>
        <w:kinsoku w:val="0"/>
        <w:overflowPunct w:val="0"/>
        <w:spacing w:line="480" w:lineRule="auto"/>
        <w:ind w:right="94"/>
        <w:rPr>
          <w:b/>
        </w:rPr>
      </w:pPr>
      <w:r w:rsidRPr="007562AA">
        <w:rPr>
          <w:b/>
        </w:rPr>
        <w:t>What alternative ideas, if any, do the utilities have to extend electric bill assistance to low-income customers of all Vermont utilities while also addressing the concerns of some utilities regarding individually funding their own low-income programs because of the high percentage of low-income customers in their service territories?</w:t>
      </w:r>
    </w:p>
    <w:p w14:paraId="0FBDF0FA" w14:textId="24CF6BB9" w:rsidR="002F3E5C" w:rsidRDefault="007562AA" w:rsidP="00883528">
      <w:pPr>
        <w:pStyle w:val="BodyText"/>
        <w:kinsoku w:val="0"/>
        <w:overflowPunct w:val="0"/>
        <w:spacing w:line="480" w:lineRule="auto"/>
        <w:ind w:right="94" w:firstLine="720"/>
      </w:pPr>
      <w:r>
        <w:lastRenderedPageBreak/>
        <w:t xml:space="preserve">Individually funding their own low-income programs could be unduly burdensome for some utilities.  </w:t>
      </w:r>
      <w:r w:rsidR="005C3571">
        <w:t xml:space="preserve">In our comments submitted on May 28, 2020, we included two appendices, which show the poverty status of Vermont’s cities, towns, and census designated places, based on data reported by the U.S. Census in its American Community Survey.  Appendix A </w:t>
      </w:r>
      <w:r w:rsidR="00F12D72">
        <w:t xml:space="preserve">to our comments </w:t>
      </w:r>
      <w:r w:rsidR="005C3571">
        <w:t>shows by geographic area, the electricity provider, the population, and the numbers and percentages of people below 150%, 185%, and 200% of the federal poverty level (“FPL”).  Appendix B, which summarizes b</w:t>
      </w:r>
      <w:r w:rsidR="00883528">
        <w:t>y electric utility service area</w:t>
      </w:r>
      <w:r w:rsidR="005C3571">
        <w:t xml:space="preserve"> the numbers and percentages of people below 150%, 185%, and 200% of the FPL, shows the wide variations in the percentages of low-income residents among Vermont’s electric utilities and electric utility</w:t>
      </w:r>
      <w:r w:rsidR="00883528">
        <w:t xml:space="preserve"> service areas.  For example, 58</w:t>
      </w:r>
      <w:r w:rsidR="005C3571">
        <w:t>% of J</w:t>
      </w:r>
      <w:r w:rsidR="00883528">
        <w:t>ohnson’s residents are below 185</w:t>
      </w:r>
      <w:r w:rsidR="005C3571">
        <w:t>% of the FPL whereas in GMP</w:t>
      </w:r>
      <w:r w:rsidR="00883528">
        <w:t>’s VEC service territory, only 11% of the residents are below 185</w:t>
      </w:r>
      <w:r w:rsidR="005C3571">
        <w:t>% of the FPL.</w:t>
      </w:r>
      <w:r w:rsidR="009F1290">
        <w:t xml:space="preserve">  These variations matter because they illustrate that recovering the cost of subsidizing electric power for low-income customers from a utility’s ratepayers could greatly </w:t>
      </w:r>
      <w:r w:rsidR="00C259A5">
        <w:t xml:space="preserve">disproportionately burden </w:t>
      </w:r>
      <w:r w:rsidR="00883528">
        <w:t xml:space="preserve">those </w:t>
      </w:r>
      <w:r w:rsidR="00C259A5">
        <w:t xml:space="preserve">Vermont residents </w:t>
      </w:r>
      <w:r w:rsidR="00883528">
        <w:t xml:space="preserve"> residing in high-poverty communities </w:t>
      </w:r>
      <w:r w:rsidR="00C259A5">
        <w:t xml:space="preserve">relative to those who </w:t>
      </w:r>
      <w:r w:rsidR="00883528">
        <w:t xml:space="preserve">residing in </w:t>
      </w:r>
      <w:r w:rsidR="00C259A5">
        <w:t>utility service areas with below-average levels of poverty.</w:t>
      </w:r>
      <w:r w:rsidR="003221C8">
        <w:t xml:space="preserve">  For this reason, AARP supports a statewide funding mechanism.</w:t>
      </w:r>
      <w:r w:rsidR="00DA7F25">
        <w:t xml:space="preserve"> In the alternative, AARP is hopeful that those smaller utilities that, in the absence of a statewide program, may not be able to implement low-income energy assistance programs will consider other options such as arrearage forgiveness programs.</w:t>
      </w:r>
    </w:p>
    <w:p w14:paraId="04D25428" w14:textId="77777777" w:rsidR="002F3E5C" w:rsidRDefault="002F3E5C" w:rsidP="002F3E5C">
      <w:pPr>
        <w:pStyle w:val="BodyText"/>
        <w:kinsoku w:val="0"/>
        <w:overflowPunct w:val="0"/>
        <w:spacing w:line="480" w:lineRule="auto"/>
        <w:ind w:left="100" w:right="223" w:firstLine="720"/>
        <w:jc w:val="both"/>
      </w:pPr>
      <w:r>
        <w:t>In conclusion, AARP VT appreciates having the opportunity to provide the Commission</w:t>
      </w:r>
      <w:r>
        <w:rPr>
          <w:spacing w:val="-57"/>
        </w:rPr>
        <w:t xml:space="preserve"> </w:t>
      </w:r>
      <w:r>
        <w:t>with input on these vitally important issues.</w:t>
      </w:r>
      <w:r>
        <w:rPr>
          <w:spacing w:val="1"/>
        </w:rPr>
        <w:t xml:space="preserve"> </w:t>
      </w:r>
      <w:r>
        <w:t>We look forward to working with the Commission,</w:t>
      </w:r>
      <w:r>
        <w:rPr>
          <w:spacing w:val="-57"/>
        </w:rPr>
        <w:t xml:space="preserve"> </w:t>
      </w:r>
      <w:r>
        <w:t>utilities,</w:t>
      </w:r>
      <w:r>
        <w:rPr>
          <w:spacing w:val="-2"/>
        </w:rPr>
        <w:t xml:space="preserve"> </w:t>
      </w:r>
      <w:r>
        <w:t>and</w:t>
      </w:r>
      <w:r>
        <w:rPr>
          <w:spacing w:val="-2"/>
        </w:rPr>
        <w:t xml:space="preserve"> </w:t>
      </w:r>
      <w:r>
        <w:t>other</w:t>
      </w:r>
      <w:r>
        <w:rPr>
          <w:spacing w:val="-3"/>
        </w:rPr>
        <w:t xml:space="preserve"> </w:t>
      </w:r>
      <w:r>
        <w:t>interested</w:t>
      </w:r>
      <w:r>
        <w:rPr>
          <w:spacing w:val="-1"/>
        </w:rPr>
        <w:t xml:space="preserve"> </w:t>
      </w:r>
      <w:r>
        <w:t>parties</w:t>
      </w:r>
      <w:r>
        <w:rPr>
          <w:spacing w:val="-2"/>
        </w:rPr>
        <w:t xml:space="preserve"> </w:t>
      </w:r>
      <w:r>
        <w:t>to</w:t>
      </w:r>
      <w:r>
        <w:rPr>
          <w:spacing w:val="-2"/>
        </w:rPr>
        <w:t xml:space="preserve"> </w:t>
      </w:r>
      <w:r>
        <w:t>help</w:t>
      </w:r>
      <w:r>
        <w:rPr>
          <w:spacing w:val="-1"/>
        </w:rPr>
        <w:t xml:space="preserve"> </w:t>
      </w:r>
      <w:r>
        <w:t>all</w:t>
      </w:r>
      <w:r>
        <w:rPr>
          <w:spacing w:val="-2"/>
        </w:rPr>
        <w:t xml:space="preserve"> </w:t>
      </w:r>
      <w:r>
        <w:t>Vermonters</w:t>
      </w:r>
      <w:r>
        <w:rPr>
          <w:spacing w:val="-2"/>
        </w:rPr>
        <w:t xml:space="preserve"> </w:t>
      </w:r>
      <w:r>
        <w:t>better</w:t>
      </w:r>
      <w:r>
        <w:rPr>
          <w:spacing w:val="-2"/>
        </w:rPr>
        <w:t xml:space="preserve"> </w:t>
      </w:r>
      <w:r>
        <w:t>afford</w:t>
      </w:r>
      <w:r>
        <w:rPr>
          <w:spacing w:val="-2"/>
        </w:rPr>
        <w:t xml:space="preserve"> </w:t>
      </w:r>
      <w:r>
        <w:t>their</w:t>
      </w:r>
      <w:r>
        <w:rPr>
          <w:spacing w:val="-3"/>
        </w:rPr>
        <w:t xml:space="preserve"> </w:t>
      </w:r>
      <w:r>
        <w:t>electricity</w:t>
      </w:r>
      <w:r>
        <w:rPr>
          <w:spacing w:val="-1"/>
        </w:rPr>
        <w:t xml:space="preserve"> </w:t>
      </w:r>
      <w:r>
        <w:t>service.</w:t>
      </w:r>
    </w:p>
    <w:p w14:paraId="13F331E4" w14:textId="77777777" w:rsidR="002F3E5C" w:rsidRDefault="002F3E5C" w:rsidP="002F3E5C">
      <w:pPr>
        <w:pStyle w:val="BodyText"/>
        <w:kinsoku w:val="0"/>
        <w:overflowPunct w:val="0"/>
        <w:ind w:left="4420"/>
        <w:jc w:val="both"/>
      </w:pPr>
      <w:r>
        <w:t>Respectfully</w:t>
      </w:r>
      <w:r>
        <w:rPr>
          <w:spacing w:val="-3"/>
        </w:rPr>
        <w:t xml:space="preserve"> </w:t>
      </w:r>
      <w:r>
        <w:t>submitted,</w:t>
      </w:r>
    </w:p>
    <w:p w14:paraId="73CDA382" w14:textId="77777777" w:rsidR="002F3E5C" w:rsidRDefault="002F3E5C" w:rsidP="002F3E5C">
      <w:pPr>
        <w:pStyle w:val="BodyText"/>
        <w:kinsoku w:val="0"/>
        <w:overflowPunct w:val="0"/>
      </w:pPr>
    </w:p>
    <w:p w14:paraId="3306AE75" w14:textId="77777777" w:rsidR="002F3E5C" w:rsidRDefault="002F3E5C" w:rsidP="002F3E5C">
      <w:pPr>
        <w:pStyle w:val="BodyText"/>
        <w:kinsoku w:val="0"/>
        <w:overflowPunct w:val="0"/>
        <w:ind w:left="4420"/>
        <w:jc w:val="both"/>
        <w:rPr>
          <w:i/>
          <w:iCs/>
        </w:rPr>
      </w:pPr>
      <w:r>
        <w:rPr>
          <w:i/>
          <w:iCs/>
        </w:rPr>
        <w:t>/s/</w:t>
      </w:r>
      <w:r>
        <w:rPr>
          <w:i/>
          <w:iCs/>
          <w:spacing w:val="-1"/>
        </w:rPr>
        <w:t xml:space="preserve"> </w:t>
      </w:r>
      <w:r>
        <w:rPr>
          <w:i/>
          <w:iCs/>
        </w:rPr>
        <w:t>Philene</w:t>
      </w:r>
      <w:r>
        <w:rPr>
          <w:i/>
          <w:iCs/>
          <w:spacing w:val="-1"/>
        </w:rPr>
        <w:t xml:space="preserve"> </w:t>
      </w:r>
      <w:r>
        <w:rPr>
          <w:i/>
          <w:iCs/>
        </w:rPr>
        <w:t>Taormina</w:t>
      </w:r>
    </w:p>
    <w:p w14:paraId="225F9EA4" w14:textId="77777777" w:rsidR="002F3E5C" w:rsidRDefault="002F3E5C" w:rsidP="002F3E5C">
      <w:pPr>
        <w:pStyle w:val="BodyText"/>
        <w:kinsoku w:val="0"/>
        <w:overflowPunct w:val="0"/>
        <w:rPr>
          <w:i/>
          <w:iCs/>
        </w:rPr>
      </w:pPr>
    </w:p>
    <w:p w14:paraId="4955AEC7" w14:textId="77777777" w:rsidR="002F3E5C" w:rsidRDefault="002F3E5C" w:rsidP="002F3E5C">
      <w:pPr>
        <w:pStyle w:val="BodyText"/>
        <w:kinsoku w:val="0"/>
        <w:overflowPunct w:val="0"/>
        <w:ind w:left="4420"/>
        <w:jc w:val="both"/>
      </w:pPr>
      <w:r>
        <w:lastRenderedPageBreak/>
        <w:t>Philene</w:t>
      </w:r>
      <w:r>
        <w:rPr>
          <w:spacing w:val="-3"/>
        </w:rPr>
        <w:t xml:space="preserve"> </w:t>
      </w:r>
      <w:r>
        <w:t>Taormina</w:t>
      </w:r>
    </w:p>
    <w:p w14:paraId="771EE0C8" w14:textId="77777777" w:rsidR="002F3E5C" w:rsidRDefault="002F3E5C" w:rsidP="002F3E5C">
      <w:pPr>
        <w:pStyle w:val="BodyText"/>
        <w:kinsoku w:val="0"/>
        <w:overflowPunct w:val="0"/>
        <w:ind w:left="4420"/>
      </w:pPr>
      <w:r>
        <w:t>Director</w:t>
      </w:r>
      <w:r>
        <w:rPr>
          <w:spacing w:val="-3"/>
        </w:rPr>
        <w:t xml:space="preserve"> </w:t>
      </w:r>
      <w:r>
        <w:t>of Advocacy,</w:t>
      </w:r>
      <w:r>
        <w:rPr>
          <w:spacing w:val="-2"/>
        </w:rPr>
        <w:t xml:space="preserve"> </w:t>
      </w:r>
      <w:r>
        <w:t>AARP</w:t>
      </w:r>
      <w:r>
        <w:rPr>
          <w:spacing w:val="-1"/>
        </w:rPr>
        <w:t xml:space="preserve"> </w:t>
      </w:r>
      <w:r>
        <w:t>VT</w:t>
      </w:r>
    </w:p>
    <w:p w14:paraId="76A24659" w14:textId="77777777" w:rsidR="002F3E5C" w:rsidRDefault="002F3E5C" w:rsidP="002F3E5C">
      <w:pPr>
        <w:pStyle w:val="BodyText"/>
        <w:kinsoku w:val="0"/>
        <w:overflowPunct w:val="0"/>
      </w:pPr>
    </w:p>
    <w:p w14:paraId="091A92B1" w14:textId="0D5F8AF0" w:rsidR="002F3E5C" w:rsidRDefault="002F3E5C" w:rsidP="00883528">
      <w:pPr>
        <w:pStyle w:val="BodyText"/>
        <w:kinsoku w:val="0"/>
        <w:overflowPunct w:val="0"/>
        <w:ind w:left="100"/>
        <w:sectPr w:rsidR="002F3E5C">
          <w:footerReference w:type="default" r:id="rId11"/>
          <w:pgSz w:w="12240" w:h="15840"/>
          <w:pgMar w:top="1360" w:right="1340" w:bottom="1240" w:left="1340" w:header="0" w:footer="1055" w:gutter="0"/>
          <w:cols w:space="720"/>
          <w:noEndnote/>
        </w:sectPr>
      </w:pPr>
      <w:r>
        <w:t>Dated:</w:t>
      </w:r>
      <w:r>
        <w:rPr>
          <w:spacing w:val="-1"/>
        </w:rPr>
        <w:t xml:space="preserve"> </w:t>
      </w:r>
      <w:r w:rsidR="0078127F">
        <w:t>January 7</w:t>
      </w:r>
      <w:bookmarkStart w:id="0" w:name="_GoBack"/>
      <w:bookmarkEnd w:id="0"/>
      <w:r w:rsidR="00210736">
        <w:t>, 2022</w:t>
      </w:r>
    </w:p>
    <w:p w14:paraId="7F35FC0D" w14:textId="77777777" w:rsidR="001D66BC" w:rsidRDefault="001D66BC"/>
    <w:sectPr w:rsidR="001D66B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2AA31" w14:textId="77777777" w:rsidR="00C6356C" w:rsidRDefault="00C6356C" w:rsidP="00874039">
      <w:r>
        <w:separator/>
      </w:r>
    </w:p>
  </w:endnote>
  <w:endnote w:type="continuationSeparator" w:id="0">
    <w:p w14:paraId="6D7CCF6D" w14:textId="77777777" w:rsidR="00C6356C" w:rsidRDefault="00C6356C" w:rsidP="00874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6363283"/>
      <w:docPartObj>
        <w:docPartGallery w:val="Page Numbers (Bottom of Page)"/>
        <w:docPartUnique/>
      </w:docPartObj>
    </w:sdtPr>
    <w:sdtEndPr>
      <w:rPr>
        <w:noProof/>
      </w:rPr>
    </w:sdtEndPr>
    <w:sdtContent>
      <w:p w14:paraId="5849E797" w14:textId="360F19FF" w:rsidR="007562AA" w:rsidRDefault="007562AA">
        <w:pPr>
          <w:pStyle w:val="Footer"/>
          <w:jc w:val="center"/>
        </w:pPr>
        <w:r>
          <w:fldChar w:fldCharType="begin"/>
        </w:r>
        <w:r>
          <w:instrText xml:space="preserve"> PAGE   \* MERGEFORMAT </w:instrText>
        </w:r>
        <w:r>
          <w:fldChar w:fldCharType="separate"/>
        </w:r>
        <w:r w:rsidR="0078127F">
          <w:rPr>
            <w:noProof/>
          </w:rPr>
          <w:t>6</w:t>
        </w:r>
        <w:r>
          <w:rPr>
            <w:noProof/>
          </w:rPr>
          <w:fldChar w:fldCharType="end"/>
        </w:r>
      </w:p>
    </w:sdtContent>
  </w:sdt>
  <w:p w14:paraId="2646604D" w14:textId="77777777" w:rsidR="007562AA" w:rsidRDefault="007562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F0781" w14:textId="77777777" w:rsidR="00874039" w:rsidRDefault="00874039">
    <w:pPr>
      <w:pStyle w:val="BodyText"/>
      <w:kinsoku w:val="0"/>
      <w:overflowPunct w:val="0"/>
      <w:spacing w:line="14" w:lineRule="auto"/>
      <w:rPr>
        <w:sz w:val="20"/>
        <w:szCs w:val="20"/>
      </w:rPr>
    </w:pPr>
    <w:r>
      <w:rPr>
        <w:noProof/>
      </w:rPr>
      <mc:AlternateContent>
        <mc:Choice Requires="wps">
          <w:drawing>
            <wp:anchor distT="0" distB="0" distL="114300" distR="114300" simplePos="0" relativeHeight="251658240" behindDoc="1" locked="0" layoutInCell="0" allowOverlap="1" wp14:anchorId="22A9B1FB" wp14:editId="631DA932">
              <wp:simplePos x="0" y="0"/>
              <wp:positionH relativeFrom="page">
                <wp:posOffset>3810000</wp:posOffset>
              </wp:positionH>
              <wp:positionV relativeFrom="page">
                <wp:posOffset>9248775</wp:posOffset>
              </wp:positionV>
              <wp:extent cx="165100" cy="1943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8A307" w14:textId="6B8FEE07" w:rsidR="00874039" w:rsidRDefault="00874039">
                          <w:pPr>
                            <w:pStyle w:val="BodyText"/>
                            <w:kinsoku w:val="0"/>
                            <w:overflowPunct w:val="0"/>
                            <w:spacing w:before="10"/>
                            <w:ind w:left="60"/>
                          </w:pPr>
                          <w:r>
                            <w:fldChar w:fldCharType="begin"/>
                          </w:r>
                          <w:r>
                            <w:instrText xml:space="preserve"> PAGE </w:instrText>
                          </w:r>
                          <w:r>
                            <w:fldChar w:fldCharType="separate"/>
                          </w:r>
                          <w:r w:rsidR="0078127F">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A9B1FB" id="_x0000_t202" coordsize="21600,21600" o:spt="202" path="m,l,21600r21600,l21600,xe">
              <v:stroke joinstyle="miter"/>
              <v:path gradientshapeok="t" o:connecttype="rect"/>
            </v:shapetype>
            <v:shape id="Text Box 3" o:spid="_x0000_s1026" type="#_x0000_t202" style="position:absolute;margin-left:300pt;margin-top:728.25pt;width:13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" o:allowincell="f" filled="f" stroked="f">
              <v:textbox inset="0,0,0,0">
                <w:txbxContent>
                  <w:p w14:paraId="76A8A307" w14:textId="6B8FEE07" w:rsidR="00874039" w:rsidRDefault="00874039">
                    <w:pPr>
                      <w:pStyle w:val="BodyText"/>
                      <w:kinsoku w:val="0"/>
                      <w:overflowPunct w:val="0"/>
                      <w:spacing w:before="10"/>
                      <w:ind w:left="60"/>
                    </w:pPr>
                    <w:r>
                      <w:fldChar w:fldCharType="begin"/>
                    </w:r>
                    <w:r>
                      <w:instrText xml:space="preserve"> PAGE </w:instrText>
                    </w:r>
                    <w:r>
                      <w:fldChar w:fldCharType="separate"/>
                    </w:r>
                    <w:r w:rsidR="0078127F">
                      <w:rPr>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FCF2A" w14:textId="77777777" w:rsidR="00C6356C" w:rsidRDefault="00C6356C" w:rsidP="00874039">
      <w:r>
        <w:separator/>
      </w:r>
    </w:p>
  </w:footnote>
  <w:footnote w:type="continuationSeparator" w:id="0">
    <w:p w14:paraId="0F5952CA" w14:textId="77777777" w:rsidR="00C6356C" w:rsidRDefault="00C6356C" w:rsidP="00874039">
      <w:r>
        <w:continuationSeparator/>
      </w:r>
    </w:p>
  </w:footnote>
  <w:footnote w:id="1">
    <w:p w14:paraId="7C50A7E9" w14:textId="77777777" w:rsidR="00874039" w:rsidRPr="009D1613" w:rsidRDefault="00874039" w:rsidP="00874039">
      <w:pPr>
        <w:pStyle w:val="FootnoteText"/>
      </w:pPr>
      <w:r>
        <w:rPr>
          <w:rStyle w:val="FootnoteReference"/>
        </w:rPr>
        <w:footnoteRef/>
      </w:r>
      <w:r>
        <w:t xml:space="preserve"> Case No. 20-0203-INV, Investigation into the establishment of reduced rates for low-income residential ratepayers of Vermont electric utilities, </w:t>
      </w:r>
      <w:r>
        <w:rPr>
          <w:i/>
        </w:rPr>
        <w:t>Order Requesting Information</w:t>
      </w:r>
      <w:r>
        <w:t>, September 28, 2021 (“Order”).</w:t>
      </w:r>
    </w:p>
  </w:footnote>
  <w:footnote w:id="2">
    <w:p w14:paraId="3D468AD5" w14:textId="77777777" w:rsidR="00D12031" w:rsidRPr="00D12031" w:rsidRDefault="00D12031">
      <w:pPr>
        <w:pStyle w:val="FootnoteText"/>
      </w:pPr>
      <w:r>
        <w:rPr>
          <w:rStyle w:val="FootnoteReference"/>
        </w:rPr>
        <w:footnoteRef/>
      </w:r>
      <w:r>
        <w:t xml:space="preserve"> The Commission directed eleven questions to GMP.  </w:t>
      </w:r>
      <w:r>
        <w:rPr>
          <w:i/>
        </w:rPr>
        <w:t>Order</w:t>
      </w:r>
      <w:r>
        <w:t>, at 3-4.</w:t>
      </w:r>
    </w:p>
  </w:footnote>
  <w:footnote w:id="3">
    <w:p w14:paraId="5648EA84" w14:textId="3969EB4C" w:rsidR="00D5385D" w:rsidRDefault="00D5385D">
      <w:pPr>
        <w:pStyle w:val="FootnoteText"/>
      </w:pPr>
      <w:r>
        <w:rPr>
          <w:rStyle w:val="FootnoteReference"/>
        </w:rPr>
        <w:footnoteRef/>
      </w:r>
      <w:r>
        <w:t xml:space="preserve"> For example, in the interest of fairness, the size of the subsidy </w:t>
      </w:r>
      <w:r w:rsidR="00883528">
        <w:t xml:space="preserve">for low-income participants </w:t>
      </w:r>
      <w:r>
        <w:t>should be the same across all utilities.</w:t>
      </w:r>
    </w:p>
  </w:footnote>
  <w:footnote w:id="4">
    <w:p w14:paraId="66F5FB0E" w14:textId="708C1E02" w:rsidR="002C14B6" w:rsidRDefault="002C14B6" w:rsidP="005419D1">
      <w:pPr>
        <w:pStyle w:val="FootnoteText"/>
        <w:spacing w:after="120"/>
      </w:pPr>
      <w:r>
        <w:rPr>
          <w:rStyle w:val="FootnoteReference"/>
        </w:rPr>
        <w:footnoteRef/>
      </w:r>
      <w:r>
        <w:t xml:space="preserve"> The National Conference of State Legislatures reports the following:</w:t>
      </w:r>
    </w:p>
    <w:p w14:paraId="5F3A646A" w14:textId="77777777" w:rsidR="002C14B6" w:rsidRDefault="002C14B6" w:rsidP="005419D1">
      <w:pPr>
        <w:pStyle w:val="FootnoteText"/>
        <w:spacing w:after="120"/>
      </w:pPr>
    </w:p>
    <w:p w14:paraId="263B788B" w14:textId="3730BE25" w:rsidR="002C14B6" w:rsidRDefault="002C14B6" w:rsidP="005419D1">
      <w:pPr>
        <w:pStyle w:val="FootnoteText"/>
        <w:spacing w:after="120"/>
        <w:ind w:left="720" w:right="720"/>
      </w:pPr>
      <w:r w:rsidRPr="002C14B6">
        <w:t>Several states—including California, Illinois, Michigan, Minnesota, New Jersey, Oregon, Washington, Wisconsin and Virginia—have mandatory utility contribution requirements to ensure continued funding for energy assistance programs independent of federal allocations. Minnesota law requires public utilities to fund and administer affordability programs for low-income customers who qualify for LIHEAP. The law further requires utilities to fund the programs at a base annual level of $8 million, which increases upon the public utilities commission’s approval of rate increases. Wisconsin funds its low-income assistance programs through state appropriations and mandatory low-income assistance fees collected by utilities through customer bills. The state’s programs are designed to assist customers with payments, energy conservation and energy weatherization. New Jersey also administers a fund to assist low-income customers.  The state’s Universal Service Fund is primarily funded through a surcharge on natural gas and electricity bills, with funding levels determined by the Board of Public Utilities. Oregon law requires that electric companies collect a set</w:t>
      </w:r>
      <w:r>
        <w:t xml:space="preserve"> </w:t>
      </w:r>
      <w:r w:rsidRPr="002C14B6">
        <w:t>amount, determined annually, to assist low-income residents in paying electric bills. The law also limits the amount a customer may be required to pay for low-income assistance programs to no more than $500 per month per site. These funds are directed to the Oregon Housing and Community Services Department’s Low-Income Electric Bill Payment Assistance Fund.</w:t>
      </w:r>
    </w:p>
    <w:p w14:paraId="7809462A" w14:textId="77777777" w:rsidR="002C14B6" w:rsidRDefault="002C14B6" w:rsidP="005419D1">
      <w:pPr>
        <w:pStyle w:val="FootnoteText"/>
        <w:spacing w:after="120"/>
        <w:ind w:left="720" w:right="720"/>
      </w:pPr>
    </w:p>
    <w:p w14:paraId="16D5C3BA" w14:textId="2F74957B" w:rsidR="002C14B6" w:rsidRDefault="002C14B6" w:rsidP="005419D1">
      <w:pPr>
        <w:pStyle w:val="FootnoteText"/>
        <w:spacing w:after="120"/>
        <w:ind w:right="720"/>
      </w:pPr>
      <w:r>
        <w:t>NCSL, “</w:t>
      </w:r>
      <w:r w:rsidRPr="002C14B6">
        <w:t>Bolstering Federal Energy Assistance and Weatherization With State Clean Energy Programs</w:t>
      </w:r>
      <w:r>
        <w:t xml:space="preserve">,” </w:t>
      </w:r>
      <w:r w:rsidR="00783E20">
        <w:t>L</w:t>
      </w:r>
      <w:r>
        <w:t xml:space="preserve">aura Shields, September 23, 2021.  </w:t>
      </w:r>
      <w:r w:rsidRPr="002C14B6">
        <w:t>https://www.ncsl.org/research/energy/bolstering-federal-energy-assistance-and-weatherization-with-state-clean-energy-programs.aspx</w:t>
      </w:r>
    </w:p>
  </w:footnote>
  <w:footnote w:id="5">
    <w:p w14:paraId="0ED225DD" w14:textId="5833EA07" w:rsidR="00180A2E" w:rsidRDefault="00180A2E" w:rsidP="005419D1">
      <w:pPr>
        <w:pStyle w:val="FootnoteText"/>
        <w:spacing w:after="120"/>
      </w:pPr>
      <w:r>
        <w:rPr>
          <w:rStyle w:val="FootnoteReference"/>
        </w:rPr>
        <w:footnoteRef/>
      </w:r>
      <w:r>
        <w:t xml:space="preserve"> See, e.g., the program in New Jersey, which is funded by a surcharge on consumers’ bills, and which requires customers to apply for assistance. </w:t>
      </w:r>
      <w:r w:rsidRPr="00180A2E">
        <w:t>https://www.nj.gov/dca/divisions/dhcr/offices/usf.html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736AA6"/>
    <w:multiLevelType w:val="hybridMultilevel"/>
    <w:tmpl w:val="6DF6E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039"/>
    <w:rsid w:val="00006B20"/>
    <w:rsid w:val="000B232A"/>
    <w:rsid w:val="00180A2E"/>
    <w:rsid w:val="001D66BC"/>
    <w:rsid w:val="00210736"/>
    <w:rsid w:val="00247C38"/>
    <w:rsid w:val="00267583"/>
    <w:rsid w:val="002C14B6"/>
    <w:rsid w:val="002F3E5C"/>
    <w:rsid w:val="0031322B"/>
    <w:rsid w:val="00316E69"/>
    <w:rsid w:val="003221C8"/>
    <w:rsid w:val="00341C3A"/>
    <w:rsid w:val="00436FED"/>
    <w:rsid w:val="0047742A"/>
    <w:rsid w:val="0049627D"/>
    <w:rsid w:val="004B0E1F"/>
    <w:rsid w:val="005419D1"/>
    <w:rsid w:val="00585130"/>
    <w:rsid w:val="005C3571"/>
    <w:rsid w:val="007562AA"/>
    <w:rsid w:val="0078127F"/>
    <w:rsid w:val="00783E20"/>
    <w:rsid w:val="007E70F5"/>
    <w:rsid w:val="00833A1E"/>
    <w:rsid w:val="00874039"/>
    <w:rsid w:val="00883528"/>
    <w:rsid w:val="009738FB"/>
    <w:rsid w:val="009F1290"/>
    <w:rsid w:val="00B03A0E"/>
    <w:rsid w:val="00C259A5"/>
    <w:rsid w:val="00C6356C"/>
    <w:rsid w:val="00CA1AC8"/>
    <w:rsid w:val="00D12031"/>
    <w:rsid w:val="00D5385D"/>
    <w:rsid w:val="00DA7F25"/>
    <w:rsid w:val="00ED73B8"/>
    <w:rsid w:val="00EE285A"/>
    <w:rsid w:val="00F12D72"/>
    <w:rsid w:val="00F50CED"/>
    <w:rsid w:val="00FB2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507DA02"/>
  <w15:chartTrackingRefBased/>
  <w15:docId w15:val="{8A9A6A8A-E623-4CB6-8D3C-FF9E1AD6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4039"/>
    <w:pPr>
      <w:widowControl w:val="0"/>
      <w:autoSpaceDE w:val="0"/>
      <w:autoSpaceDN w:val="0"/>
      <w:adjustRightInd w:val="0"/>
      <w:spacing w:after="0" w:line="240" w:lineRule="auto"/>
    </w:pPr>
    <w:rPr>
      <w:rFonts w:ascii="Times New Roman" w:eastAsiaTheme="minorEastAsia"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74039"/>
    <w:rPr>
      <w:sz w:val="24"/>
      <w:szCs w:val="24"/>
    </w:rPr>
  </w:style>
  <w:style w:type="character" w:customStyle="1" w:styleId="BodyTextChar">
    <w:name w:val="Body Text Char"/>
    <w:basedOn w:val="DefaultParagraphFont"/>
    <w:link w:val="BodyText"/>
    <w:uiPriority w:val="1"/>
    <w:rsid w:val="00874039"/>
    <w:rPr>
      <w:rFonts w:ascii="Times New Roman" w:eastAsiaTheme="minorEastAsia" w:hAnsi="Times New Roman" w:cs="Times New Roman"/>
      <w:sz w:val="24"/>
      <w:szCs w:val="24"/>
    </w:rPr>
  </w:style>
  <w:style w:type="paragraph" w:styleId="FootnoteText">
    <w:name w:val="footnote text"/>
    <w:basedOn w:val="Normal"/>
    <w:link w:val="FootnoteTextChar"/>
    <w:uiPriority w:val="99"/>
    <w:semiHidden/>
    <w:unhideWhenUsed/>
    <w:rsid w:val="00874039"/>
    <w:rPr>
      <w:sz w:val="20"/>
      <w:szCs w:val="20"/>
    </w:rPr>
  </w:style>
  <w:style w:type="character" w:customStyle="1" w:styleId="FootnoteTextChar">
    <w:name w:val="Footnote Text Char"/>
    <w:basedOn w:val="DefaultParagraphFont"/>
    <w:link w:val="FootnoteText"/>
    <w:uiPriority w:val="99"/>
    <w:semiHidden/>
    <w:rsid w:val="00874039"/>
    <w:rPr>
      <w:rFonts w:ascii="Times New Roman" w:eastAsiaTheme="minorEastAsia" w:hAnsi="Times New Roman" w:cs="Times New Roman"/>
      <w:sz w:val="20"/>
      <w:szCs w:val="20"/>
    </w:rPr>
  </w:style>
  <w:style w:type="character" w:styleId="FootnoteReference">
    <w:name w:val="footnote reference"/>
    <w:basedOn w:val="DefaultParagraphFont"/>
    <w:uiPriority w:val="99"/>
    <w:semiHidden/>
    <w:unhideWhenUsed/>
    <w:rsid w:val="00874039"/>
    <w:rPr>
      <w:vertAlign w:val="superscript"/>
    </w:rPr>
  </w:style>
  <w:style w:type="paragraph" w:styleId="Header">
    <w:name w:val="header"/>
    <w:basedOn w:val="Normal"/>
    <w:link w:val="HeaderChar"/>
    <w:uiPriority w:val="99"/>
    <w:unhideWhenUsed/>
    <w:rsid w:val="007562AA"/>
    <w:pPr>
      <w:tabs>
        <w:tab w:val="center" w:pos="4680"/>
        <w:tab w:val="right" w:pos="9360"/>
      </w:tabs>
    </w:pPr>
  </w:style>
  <w:style w:type="character" w:customStyle="1" w:styleId="HeaderChar">
    <w:name w:val="Header Char"/>
    <w:basedOn w:val="DefaultParagraphFont"/>
    <w:link w:val="Header"/>
    <w:uiPriority w:val="99"/>
    <w:rsid w:val="007562AA"/>
    <w:rPr>
      <w:rFonts w:ascii="Times New Roman" w:eastAsiaTheme="minorEastAsia" w:hAnsi="Times New Roman" w:cs="Times New Roman"/>
    </w:rPr>
  </w:style>
  <w:style w:type="paragraph" w:styleId="Footer">
    <w:name w:val="footer"/>
    <w:basedOn w:val="Normal"/>
    <w:link w:val="FooterChar"/>
    <w:uiPriority w:val="99"/>
    <w:unhideWhenUsed/>
    <w:rsid w:val="007562AA"/>
    <w:pPr>
      <w:tabs>
        <w:tab w:val="center" w:pos="4680"/>
        <w:tab w:val="right" w:pos="9360"/>
      </w:tabs>
    </w:pPr>
  </w:style>
  <w:style w:type="character" w:customStyle="1" w:styleId="FooterChar">
    <w:name w:val="Footer Char"/>
    <w:basedOn w:val="DefaultParagraphFont"/>
    <w:link w:val="Footer"/>
    <w:uiPriority w:val="99"/>
    <w:rsid w:val="007562AA"/>
    <w:rPr>
      <w:rFonts w:ascii="Times New Roman" w:eastAsiaTheme="minorEastAsia" w:hAnsi="Times New Roman" w:cs="Times New Roman"/>
    </w:rPr>
  </w:style>
  <w:style w:type="character" w:styleId="CommentReference">
    <w:name w:val="annotation reference"/>
    <w:basedOn w:val="DefaultParagraphFont"/>
    <w:uiPriority w:val="99"/>
    <w:semiHidden/>
    <w:unhideWhenUsed/>
    <w:rsid w:val="00316E69"/>
    <w:rPr>
      <w:sz w:val="16"/>
      <w:szCs w:val="16"/>
    </w:rPr>
  </w:style>
  <w:style w:type="paragraph" w:styleId="CommentText">
    <w:name w:val="annotation text"/>
    <w:basedOn w:val="Normal"/>
    <w:link w:val="CommentTextChar"/>
    <w:uiPriority w:val="99"/>
    <w:semiHidden/>
    <w:unhideWhenUsed/>
    <w:rsid w:val="00316E69"/>
    <w:rPr>
      <w:sz w:val="20"/>
      <w:szCs w:val="20"/>
    </w:rPr>
  </w:style>
  <w:style w:type="character" w:customStyle="1" w:styleId="CommentTextChar">
    <w:name w:val="Comment Text Char"/>
    <w:basedOn w:val="DefaultParagraphFont"/>
    <w:link w:val="CommentText"/>
    <w:uiPriority w:val="99"/>
    <w:semiHidden/>
    <w:rsid w:val="00316E69"/>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6E69"/>
    <w:rPr>
      <w:b/>
      <w:bCs/>
    </w:rPr>
  </w:style>
  <w:style w:type="character" w:customStyle="1" w:styleId="CommentSubjectChar">
    <w:name w:val="Comment Subject Char"/>
    <w:basedOn w:val="CommentTextChar"/>
    <w:link w:val="CommentSubject"/>
    <w:uiPriority w:val="99"/>
    <w:semiHidden/>
    <w:rsid w:val="00316E69"/>
    <w:rPr>
      <w:rFonts w:ascii="Times New Roman" w:eastAsiaTheme="minorEastAsia" w:hAnsi="Times New Roman" w:cs="Times New Roman"/>
      <w:b/>
      <w:bCs/>
      <w:sz w:val="20"/>
      <w:szCs w:val="20"/>
    </w:rPr>
  </w:style>
  <w:style w:type="paragraph" w:styleId="BalloonText">
    <w:name w:val="Balloon Text"/>
    <w:basedOn w:val="Normal"/>
    <w:link w:val="BalloonTextChar"/>
    <w:uiPriority w:val="99"/>
    <w:semiHidden/>
    <w:unhideWhenUsed/>
    <w:rsid w:val="00316E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E69"/>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9E1C44FCDBB4F8166B46FDD873728" ma:contentTypeVersion="11" ma:contentTypeDescription="Create a new document." ma:contentTypeScope="" ma:versionID="27e5b41d9a3453bb110ff20debec171a">
  <xsd:schema xmlns:xsd="http://www.w3.org/2001/XMLSchema" xmlns:xs="http://www.w3.org/2001/XMLSchema" xmlns:p="http://schemas.microsoft.com/office/2006/metadata/properties" xmlns:ns3="2c04ef95-43a8-48ab-bfe2-2dd8ab685789" targetNamespace="http://schemas.microsoft.com/office/2006/metadata/properties" ma:root="true" ma:fieldsID="e55992b9d4957d5bb5c72795247ce3e9" ns3:_="">
    <xsd:import namespace="2c04ef95-43a8-48ab-bfe2-2dd8ab68578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04ef95-43a8-48ab-bfe2-2dd8ab685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0C674-25F9-489A-B640-E7128AC62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04ef95-43a8-48ab-bfe2-2dd8ab6857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92B2AA-B77C-4833-95C4-D0F45462CE0F}">
  <ds:schemaRefs>
    <ds:schemaRef ds:uri="http://purl.org/dc/terms/"/>
    <ds:schemaRef ds:uri="http://schemas.openxmlformats.org/package/2006/metadata/core-properties"/>
    <ds:schemaRef ds:uri="http://purl.org/dc/dcmitype/"/>
    <ds:schemaRef ds:uri="2c04ef95-43a8-48ab-bfe2-2dd8ab685789"/>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3D111D5B-6D43-4482-8EFB-945F3EEE2A6A}">
  <ds:schemaRefs>
    <ds:schemaRef ds:uri="http://schemas.microsoft.com/sharepoint/v3/contenttype/forms"/>
  </ds:schemaRefs>
</ds:datastoreItem>
</file>

<file path=customXml/itemProps4.xml><?xml version="1.0" encoding="utf-8"?>
<ds:datastoreItem xmlns:ds="http://schemas.openxmlformats.org/officeDocument/2006/customXml" ds:itemID="{2E7B5ED9-442E-4C7B-B8DB-3C1BAC7DD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1585</Words>
  <Characters>9040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Baldwin</dc:creator>
  <cp:keywords/>
  <dc:description/>
  <cp:lastModifiedBy>Taormina, Philene</cp:lastModifiedBy>
  <cp:revision>7</cp:revision>
  <dcterms:created xsi:type="dcterms:W3CDTF">2022-01-04T17:30:00Z</dcterms:created>
  <dcterms:modified xsi:type="dcterms:W3CDTF">2022-01-06T17:32:00Z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0x010100AA49E1C44FCDBB4F8166B46FDD873728</vt:lpwstr>
  </property>
</Properties>
</file>