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D844FB" w14:textId="4FDB16B7" w:rsidR="002409A9" w:rsidRPr="002409A9" w:rsidRDefault="002409A9" w:rsidP="00FC03C5">
      <w:pPr>
        <w:spacing w:line="480" w:lineRule="auto"/>
        <w:rPr>
          <w:sz w:val="24"/>
          <w:szCs w:val="24"/>
        </w:rPr>
      </w:pPr>
    </w:p>
    <w:p w14:paraId="15ECAE94" w14:textId="323F0A49" w:rsidR="009D2FF0" w:rsidRPr="009D2FF0" w:rsidRDefault="009D2FF0" w:rsidP="00FC03C5">
      <w:pPr>
        <w:spacing w:line="240" w:lineRule="auto"/>
        <w:jc w:val="center"/>
        <w:rPr>
          <w:b/>
          <w:bCs/>
          <w:sz w:val="24"/>
          <w:szCs w:val="24"/>
        </w:rPr>
      </w:pPr>
      <w:r w:rsidRPr="009D2FF0">
        <w:rPr>
          <w:b/>
          <w:bCs/>
          <w:sz w:val="24"/>
          <w:szCs w:val="24"/>
        </w:rPr>
        <w:t>Comments of the Agency of Commerce and Community Development (ACCD)</w:t>
      </w:r>
    </w:p>
    <w:p w14:paraId="74D68784" w14:textId="77777777" w:rsidR="009D2FF0" w:rsidRDefault="009D2FF0" w:rsidP="00FC03C5">
      <w:pPr>
        <w:spacing w:line="240" w:lineRule="auto"/>
        <w:jc w:val="center"/>
        <w:rPr>
          <w:b/>
          <w:bCs/>
          <w:sz w:val="24"/>
          <w:szCs w:val="24"/>
        </w:rPr>
      </w:pPr>
      <w:r w:rsidRPr="009D2FF0">
        <w:rPr>
          <w:b/>
          <w:bCs/>
          <w:sz w:val="24"/>
          <w:szCs w:val="24"/>
        </w:rPr>
        <w:t xml:space="preserve">Extension of Moratorium on Utility and Telecommunications Shutoffs to Commercial </w:t>
      </w:r>
    </w:p>
    <w:p w14:paraId="44BD9ADA" w14:textId="5F0EFCDB" w:rsidR="009D2FF0" w:rsidRDefault="009D2FF0" w:rsidP="00FC03C5">
      <w:pPr>
        <w:spacing w:line="240" w:lineRule="auto"/>
        <w:jc w:val="center"/>
        <w:rPr>
          <w:sz w:val="24"/>
          <w:szCs w:val="24"/>
        </w:rPr>
      </w:pPr>
      <w:r w:rsidRPr="009D2FF0">
        <w:rPr>
          <w:b/>
          <w:bCs/>
          <w:sz w:val="24"/>
          <w:szCs w:val="24"/>
        </w:rPr>
        <w:t>Customers</w:t>
      </w:r>
    </w:p>
    <w:p w14:paraId="230359E7" w14:textId="2190BED9" w:rsidR="002409A9" w:rsidRPr="002409A9" w:rsidRDefault="002409A9" w:rsidP="00FC03C5">
      <w:pPr>
        <w:spacing w:line="480" w:lineRule="auto"/>
        <w:ind w:firstLine="720"/>
        <w:rPr>
          <w:rFonts w:cs="TimesNewRomanPSMT"/>
          <w:sz w:val="24"/>
          <w:szCs w:val="24"/>
        </w:rPr>
      </w:pPr>
      <w:r w:rsidRPr="002409A9">
        <w:rPr>
          <w:sz w:val="24"/>
          <w:szCs w:val="24"/>
        </w:rPr>
        <w:t xml:space="preserve">The current crisis in public health and economic activity that is resulting from the novel coronavirus pandemic will have growing impacts on Vermont households and businesses. The </w:t>
      </w:r>
      <w:r w:rsidR="009D2FF0">
        <w:rPr>
          <w:sz w:val="24"/>
          <w:szCs w:val="24"/>
        </w:rPr>
        <w:t xml:space="preserve">Public Utility Commission </w:t>
      </w:r>
      <w:r w:rsidRPr="002409A9">
        <w:rPr>
          <w:sz w:val="24"/>
          <w:szCs w:val="24"/>
        </w:rPr>
        <w:t>order (</w:t>
      </w:r>
      <w:r w:rsidRPr="002409A9">
        <w:rPr>
          <w:rFonts w:cs="TimesNewRomanPSMT"/>
          <w:sz w:val="24"/>
          <w:szCs w:val="24"/>
        </w:rPr>
        <w:t xml:space="preserve">Case No. 20-0703-PET) is an appropriate step to protect Vermont residents from losing critical services at a time when their financial status may make it impossible to meet their obligations </w:t>
      </w:r>
      <w:r>
        <w:rPr>
          <w:rFonts w:cs="TimesNewRomanPSMT"/>
          <w:sz w:val="24"/>
          <w:szCs w:val="24"/>
        </w:rPr>
        <w:t xml:space="preserve">to pay for </w:t>
      </w:r>
      <w:r w:rsidRPr="002409A9">
        <w:rPr>
          <w:rFonts w:cs="TimesNewRomanPSMT"/>
          <w:sz w:val="24"/>
          <w:szCs w:val="24"/>
        </w:rPr>
        <w:t>electric, natural gas and telecommu</w:t>
      </w:r>
      <w:r>
        <w:rPr>
          <w:rFonts w:cs="TimesNewRomanPSMT"/>
          <w:sz w:val="24"/>
          <w:szCs w:val="24"/>
        </w:rPr>
        <w:t>n</w:t>
      </w:r>
      <w:r w:rsidRPr="002409A9">
        <w:rPr>
          <w:rFonts w:cs="TimesNewRomanPSMT"/>
          <w:sz w:val="24"/>
          <w:szCs w:val="24"/>
        </w:rPr>
        <w:t xml:space="preserve">ication services. </w:t>
      </w:r>
    </w:p>
    <w:p w14:paraId="09DE9534" w14:textId="76E5DDB4" w:rsidR="002409A9" w:rsidRPr="002409A9" w:rsidRDefault="002409A9" w:rsidP="00FC03C5">
      <w:pPr>
        <w:spacing w:line="480" w:lineRule="auto"/>
        <w:ind w:firstLine="720"/>
        <w:rPr>
          <w:rFonts w:cs="TimesNewRomanPSMT"/>
          <w:sz w:val="24"/>
          <w:szCs w:val="24"/>
        </w:rPr>
      </w:pPr>
      <w:r w:rsidRPr="002409A9">
        <w:rPr>
          <w:rFonts w:cs="TimesNewRomanPSMT"/>
          <w:sz w:val="24"/>
          <w:szCs w:val="24"/>
        </w:rPr>
        <w:t xml:space="preserve">A similar set of situations exist for literally hundreds of Vermont businesses. In many cases, these businesses have lost the revenue that serves as the basis for them to pay bills and yet the services provided by electric, natural gas and telecommunication utilities are necessary to allow them to recover when the immediate consequences of the coronavirus pandemic diminish. </w:t>
      </w:r>
    </w:p>
    <w:p w14:paraId="500985E6" w14:textId="207565D0" w:rsidR="002409A9" w:rsidRDefault="002409A9" w:rsidP="00FC03C5">
      <w:pPr>
        <w:spacing w:line="480" w:lineRule="auto"/>
        <w:ind w:firstLine="720"/>
        <w:rPr>
          <w:rFonts w:cs="TimesNewRomanPSMT"/>
          <w:sz w:val="24"/>
          <w:szCs w:val="24"/>
        </w:rPr>
      </w:pPr>
      <w:r w:rsidRPr="002409A9">
        <w:rPr>
          <w:rFonts w:cs="TimesNewRomanPSMT"/>
          <w:sz w:val="24"/>
          <w:szCs w:val="24"/>
        </w:rPr>
        <w:t xml:space="preserve">We believe that all of the legal reasons cited in making the decision for </w:t>
      </w:r>
      <w:r w:rsidR="009D4B9E">
        <w:rPr>
          <w:rFonts w:cs="TimesNewRomanPSMT"/>
          <w:sz w:val="24"/>
          <w:szCs w:val="24"/>
        </w:rPr>
        <w:t>resid</w:t>
      </w:r>
      <w:r w:rsidR="00727D51">
        <w:rPr>
          <w:rFonts w:cs="TimesNewRomanPSMT"/>
          <w:sz w:val="24"/>
          <w:szCs w:val="24"/>
        </w:rPr>
        <w:t>ential accounts</w:t>
      </w:r>
      <w:r w:rsidRPr="002409A9">
        <w:rPr>
          <w:rFonts w:cs="TimesNewRomanPSMT"/>
          <w:sz w:val="24"/>
          <w:szCs w:val="24"/>
        </w:rPr>
        <w:t xml:space="preserve"> should be </w:t>
      </w:r>
      <w:r w:rsidR="009D2FF0">
        <w:rPr>
          <w:rFonts w:cs="TimesNewRomanPSMT"/>
          <w:sz w:val="24"/>
          <w:szCs w:val="24"/>
        </w:rPr>
        <w:t>applied with</w:t>
      </w:r>
      <w:r w:rsidRPr="002409A9">
        <w:rPr>
          <w:rFonts w:cs="TimesNewRomanPSMT"/>
          <w:sz w:val="24"/>
          <w:szCs w:val="24"/>
        </w:rPr>
        <w:t xml:space="preserve"> </w:t>
      </w:r>
      <w:r w:rsidR="009D2FF0">
        <w:rPr>
          <w:rFonts w:cs="TimesNewRomanPSMT"/>
          <w:sz w:val="24"/>
          <w:szCs w:val="24"/>
        </w:rPr>
        <w:t xml:space="preserve">equal weight to support an </w:t>
      </w:r>
      <w:r w:rsidRPr="002409A9">
        <w:rPr>
          <w:rFonts w:cs="TimesNewRomanPSMT"/>
          <w:sz w:val="24"/>
          <w:szCs w:val="24"/>
        </w:rPr>
        <w:t>exten</w:t>
      </w:r>
      <w:r w:rsidR="009D2FF0">
        <w:rPr>
          <w:rFonts w:cs="TimesNewRomanPSMT"/>
          <w:sz w:val="24"/>
          <w:szCs w:val="24"/>
        </w:rPr>
        <w:t xml:space="preserve">sion of the </w:t>
      </w:r>
      <w:r w:rsidRPr="002409A9">
        <w:rPr>
          <w:rFonts w:cs="TimesNewRomanPSMT"/>
          <w:sz w:val="24"/>
          <w:szCs w:val="24"/>
        </w:rPr>
        <w:t xml:space="preserve">prohibition of involuntary service </w:t>
      </w:r>
      <w:r w:rsidR="009D2FF0">
        <w:rPr>
          <w:rFonts w:cs="TimesNewRomanPSMT"/>
          <w:sz w:val="24"/>
          <w:szCs w:val="24"/>
        </w:rPr>
        <w:t>dis</w:t>
      </w:r>
      <w:r w:rsidRPr="002409A9">
        <w:rPr>
          <w:rFonts w:cs="TimesNewRomanPSMT"/>
          <w:sz w:val="24"/>
          <w:szCs w:val="24"/>
        </w:rPr>
        <w:t xml:space="preserve">connections </w:t>
      </w:r>
      <w:r>
        <w:rPr>
          <w:rFonts w:cs="TimesNewRomanPSMT"/>
          <w:sz w:val="24"/>
          <w:szCs w:val="24"/>
        </w:rPr>
        <w:t xml:space="preserve">to Vermont </w:t>
      </w:r>
      <w:r w:rsidR="00E90EEE">
        <w:rPr>
          <w:rFonts w:cs="TimesNewRomanPSMT"/>
          <w:sz w:val="24"/>
          <w:szCs w:val="24"/>
        </w:rPr>
        <w:t xml:space="preserve">commercial </w:t>
      </w:r>
      <w:r>
        <w:rPr>
          <w:rFonts w:cs="TimesNewRomanPSMT"/>
          <w:sz w:val="24"/>
          <w:szCs w:val="24"/>
        </w:rPr>
        <w:t>accounts.</w:t>
      </w:r>
    </w:p>
    <w:p w14:paraId="15FF31D2" w14:textId="00513C30" w:rsidR="002409A9" w:rsidRPr="002409A9" w:rsidRDefault="009D2FF0" w:rsidP="00FC03C5">
      <w:pPr>
        <w:spacing w:line="480" w:lineRule="auto"/>
        <w:rPr>
          <w:sz w:val="24"/>
          <w:szCs w:val="24"/>
        </w:rPr>
      </w:pPr>
      <w:r>
        <w:rPr>
          <w:rFonts w:cs="TimesNewRomanPSMT"/>
          <w:sz w:val="24"/>
          <w:szCs w:val="24"/>
        </w:rPr>
        <w:tab/>
        <w:t xml:space="preserve">Thank you for considering the complete gravity of economic impacts </w:t>
      </w:r>
      <w:r w:rsidR="006812A4">
        <w:rPr>
          <w:rFonts w:cs="TimesNewRomanPSMT"/>
          <w:sz w:val="24"/>
          <w:szCs w:val="24"/>
        </w:rPr>
        <w:t xml:space="preserve">the coronavirus pandemic is causing </w:t>
      </w:r>
      <w:r>
        <w:rPr>
          <w:rFonts w:cs="TimesNewRomanPSMT"/>
          <w:sz w:val="24"/>
          <w:szCs w:val="24"/>
        </w:rPr>
        <w:t>on Vermont</w:t>
      </w:r>
      <w:r w:rsidR="00583877">
        <w:rPr>
          <w:rFonts w:cs="TimesNewRomanPSMT"/>
          <w:sz w:val="24"/>
          <w:szCs w:val="24"/>
        </w:rPr>
        <w:t>’s</w:t>
      </w:r>
      <w:r>
        <w:rPr>
          <w:rFonts w:cs="TimesNewRomanPSMT"/>
          <w:sz w:val="24"/>
          <w:szCs w:val="24"/>
        </w:rPr>
        <w:t xml:space="preserve"> residential </w:t>
      </w:r>
      <w:r w:rsidRPr="00583877">
        <w:rPr>
          <w:rFonts w:cs="TimesNewRomanPSMT"/>
          <w:i/>
          <w:iCs/>
          <w:sz w:val="24"/>
          <w:szCs w:val="24"/>
        </w:rPr>
        <w:t xml:space="preserve">and </w:t>
      </w:r>
      <w:r w:rsidRPr="00583877">
        <w:rPr>
          <w:rFonts w:cs="TimesNewRomanPSMT"/>
          <w:sz w:val="24"/>
          <w:szCs w:val="24"/>
        </w:rPr>
        <w:t>commercial</w:t>
      </w:r>
      <w:r>
        <w:rPr>
          <w:rFonts w:cs="TimesNewRomanPSMT"/>
          <w:sz w:val="24"/>
          <w:szCs w:val="24"/>
        </w:rPr>
        <w:t xml:space="preserve"> </w:t>
      </w:r>
      <w:r w:rsidR="00A97B25">
        <w:rPr>
          <w:rFonts w:cs="TimesNewRomanPSMT"/>
          <w:sz w:val="24"/>
          <w:szCs w:val="24"/>
        </w:rPr>
        <w:t xml:space="preserve">customers of </w:t>
      </w:r>
      <w:r w:rsidR="00906017">
        <w:rPr>
          <w:rFonts w:cs="TimesNewRomanPSMT"/>
          <w:sz w:val="24"/>
          <w:szCs w:val="24"/>
        </w:rPr>
        <w:t>electric, natural gas and telecommunicat</w:t>
      </w:r>
      <w:r w:rsidR="00363899">
        <w:rPr>
          <w:rFonts w:cs="TimesNewRomanPSMT"/>
          <w:sz w:val="24"/>
          <w:szCs w:val="24"/>
        </w:rPr>
        <w:t>i</w:t>
      </w:r>
      <w:r w:rsidR="00906017">
        <w:rPr>
          <w:rFonts w:cs="TimesNewRomanPSMT"/>
          <w:sz w:val="24"/>
          <w:szCs w:val="24"/>
        </w:rPr>
        <w:t>ons util</w:t>
      </w:r>
      <w:r w:rsidR="00363899">
        <w:rPr>
          <w:rFonts w:cs="TimesNewRomanPSMT"/>
          <w:sz w:val="24"/>
          <w:szCs w:val="24"/>
        </w:rPr>
        <w:t>i</w:t>
      </w:r>
      <w:r w:rsidR="00906017">
        <w:rPr>
          <w:rFonts w:cs="TimesNewRomanPSMT"/>
          <w:sz w:val="24"/>
          <w:szCs w:val="24"/>
        </w:rPr>
        <w:t>t</w:t>
      </w:r>
      <w:r>
        <w:rPr>
          <w:rFonts w:cs="TimesNewRomanPSMT"/>
          <w:sz w:val="24"/>
          <w:szCs w:val="24"/>
        </w:rPr>
        <w:t xml:space="preserve">y </w:t>
      </w:r>
      <w:r w:rsidR="00A97B25">
        <w:rPr>
          <w:rFonts w:cs="TimesNewRomanPSMT"/>
          <w:sz w:val="24"/>
          <w:szCs w:val="24"/>
        </w:rPr>
        <w:t>services</w:t>
      </w:r>
      <w:r w:rsidR="00E717F6">
        <w:rPr>
          <w:rFonts w:cs="TimesNewRomanPSMT"/>
          <w:sz w:val="24"/>
          <w:szCs w:val="24"/>
        </w:rPr>
        <w:t>.</w:t>
      </w:r>
      <w:bookmarkStart w:id="0" w:name="_GoBack"/>
      <w:bookmarkEnd w:id="0"/>
    </w:p>
    <w:sectPr w:rsidR="002409A9" w:rsidRPr="002409A9">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29DEA7" w14:textId="77777777" w:rsidR="00B66191" w:rsidRDefault="00B66191" w:rsidP="009D2FF0">
      <w:pPr>
        <w:spacing w:after="0" w:line="240" w:lineRule="auto"/>
      </w:pPr>
      <w:r>
        <w:separator/>
      </w:r>
    </w:p>
  </w:endnote>
  <w:endnote w:type="continuationSeparator" w:id="0">
    <w:p w14:paraId="1696FBFE" w14:textId="77777777" w:rsidR="00B66191" w:rsidRDefault="00B66191" w:rsidP="009D2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1F80F1" w14:textId="77777777" w:rsidR="00B66191" w:rsidRDefault="00B66191" w:rsidP="009D2FF0">
      <w:pPr>
        <w:spacing w:after="0" w:line="240" w:lineRule="auto"/>
      </w:pPr>
      <w:r>
        <w:separator/>
      </w:r>
    </w:p>
  </w:footnote>
  <w:footnote w:type="continuationSeparator" w:id="0">
    <w:p w14:paraId="3324D308" w14:textId="77777777" w:rsidR="00B66191" w:rsidRDefault="00B66191" w:rsidP="009D2F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1F2176" w14:textId="18A5D883" w:rsidR="009D2FF0" w:rsidRDefault="009D2FF0" w:rsidP="009D2FF0">
    <w:pPr>
      <w:pStyle w:val="Header"/>
      <w:jc w:val="right"/>
    </w:pPr>
    <w:r>
      <w:t>Case No.  20-0703-PET</w:t>
    </w:r>
  </w:p>
  <w:p w14:paraId="2D6FCF17" w14:textId="06D8782D" w:rsidR="009D2FF0" w:rsidRDefault="009D2FF0" w:rsidP="009D2FF0">
    <w:pPr>
      <w:pStyle w:val="Header"/>
      <w:jc w:val="right"/>
    </w:pPr>
    <w:r>
      <w:t>Comments of Agency of Commerce and Community Development</w:t>
    </w:r>
  </w:p>
  <w:p w14:paraId="39870361" w14:textId="74C47A15" w:rsidR="009D2FF0" w:rsidRDefault="009D2FF0" w:rsidP="009D2FF0">
    <w:pPr>
      <w:pStyle w:val="Header"/>
      <w:jc w:val="right"/>
    </w:pPr>
    <w:r>
      <w:t>March 20, 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9A9"/>
    <w:rsid w:val="002409A9"/>
    <w:rsid w:val="00347215"/>
    <w:rsid w:val="00363899"/>
    <w:rsid w:val="004620A4"/>
    <w:rsid w:val="00583877"/>
    <w:rsid w:val="006812A4"/>
    <w:rsid w:val="00727D51"/>
    <w:rsid w:val="00906017"/>
    <w:rsid w:val="009D2FF0"/>
    <w:rsid w:val="009D4B9E"/>
    <w:rsid w:val="00A97B25"/>
    <w:rsid w:val="00B17E0D"/>
    <w:rsid w:val="00B66191"/>
    <w:rsid w:val="00E55DDC"/>
    <w:rsid w:val="00E717F6"/>
    <w:rsid w:val="00E90EEE"/>
    <w:rsid w:val="00FC03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009313"/>
  <w15:chartTrackingRefBased/>
  <w15:docId w15:val="{262FA376-D9E3-4B97-81DF-FBE5CA9A3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2F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2FF0"/>
  </w:style>
  <w:style w:type="paragraph" w:styleId="Footer">
    <w:name w:val="footer"/>
    <w:basedOn w:val="Normal"/>
    <w:link w:val="FooterChar"/>
    <w:uiPriority w:val="99"/>
    <w:unhideWhenUsed/>
    <w:rsid w:val="009D2F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2F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45B7F4AAFE84445A2F607EE8160D080" ma:contentTypeVersion="15" ma:contentTypeDescription="Create a new document." ma:contentTypeScope="" ma:versionID="2c3aa572336866aee20562c2fc3663f3">
  <xsd:schema xmlns:xsd="http://www.w3.org/2001/XMLSchema" xmlns:xs="http://www.w3.org/2001/XMLSchema" xmlns:p="http://schemas.microsoft.com/office/2006/metadata/properties" xmlns:ns1="http://schemas.microsoft.com/sharepoint/v3" xmlns:ns3="7452c816-74a2-4079-a6f0-1e3ec78deedd" xmlns:ns4="c63efa23-a040-4866-aaa1-ba3c1b1fc3d5" targetNamespace="http://schemas.microsoft.com/office/2006/metadata/properties" ma:root="true" ma:fieldsID="0d66c8368e367f36ae82d728b68ae79b" ns1:_="" ns3:_="" ns4:_="">
    <xsd:import namespace="http://schemas.microsoft.com/sharepoint/v3"/>
    <xsd:import namespace="7452c816-74a2-4079-a6f0-1e3ec78deedd"/>
    <xsd:import namespace="c63efa23-a040-4866-aaa1-ba3c1b1fc3d5"/>
    <xsd:element name="properties">
      <xsd:complexType>
        <xsd:sequence>
          <xsd:element name="documentManagement">
            <xsd:complexType>
              <xsd:all>
                <xsd:element ref="ns3:MediaServiceMetadata" minOccurs="0"/>
                <xsd:element ref="ns3:MediaServiceFastMetadata" minOccurs="0"/>
                <xsd:element ref="ns1:_ip_UnifiedCompliancePolicyProperties" minOccurs="0"/>
                <xsd:element ref="ns1:_ip_UnifiedCompliancePolicyUIAction"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52c816-74a2-4079-a6f0-1e3ec78dee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3efa23-a040-4866-aaa1-ba3c1b1fc3d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0951E0-BB41-43CE-B294-B587B30582CA}">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B75D3E82-9A15-4CF3-A497-9F70B69882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452c816-74a2-4079-a6f0-1e3ec78deedd"/>
    <ds:schemaRef ds:uri="c63efa23-a040-4866-aaa1-ba3c1b1fc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628D62-F516-46EC-9831-A75A73617F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219</Words>
  <Characters>1254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Kenneth</dc:creator>
  <cp:keywords/>
  <dc:description/>
  <cp:lastModifiedBy>Kessler, John</cp:lastModifiedBy>
  <cp:revision>10</cp:revision>
  <dcterms:created xsi:type="dcterms:W3CDTF">2020-03-20T18:40:00Z</dcterms:created>
  <dcterms:modified xsi:type="dcterms:W3CDTF">2020-03-20T19:49:00Z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0x010100945B7F4AAFE84445A2F607EE8160D080</vt:lpwstr>
  </property>
</Properties>
</file>