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25E3" w:rsidRPr="00E855E3" w:rsidRDefault="005725E3" w:rsidP="00E855E3">
      <w:pPr>
        <w:spacing w:after="120"/>
      </w:pPr>
    </w:p>
    <w:p w:rsidR="005725E3" w:rsidRPr="00E855E3" w:rsidRDefault="005725E3" w:rsidP="00E855E3">
      <w:pPr>
        <w:spacing w:after="120"/>
      </w:pPr>
    </w:p>
    <w:p w:rsidR="005725E3" w:rsidRPr="00E855E3" w:rsidRDefault="00F146F5" w:rsidP="00E855E3">
      <w:pPr>
        <w:spacing w:after="120"/>
      </w:pPr>
      <w:r w:rsidRPr="00E855E3">
        <w:fldChar w:fldCharType="begin"/>
      </w:r>
      <w:r w:rsidRPr="00E855E3">
        <w:instrText xml:space="preserve"> DATE \@ "MMMM d, yyyy" </w:instrText>
      </w:r>
      <w:r w:rsidRPr="00E855E3">
        <w:fldChar w:fldCharType="separate"/>
      </w:r>
      <w:r w:rsidR="00E855E3" w:rsidRPr="00E855E3">
        <w:rPr>
          <w:noProof/>
        </w:rPr>
        <w:t>July 26, 2019</w:t>
      </w:r>
      <w:r w:rsidRPr="00E855E3">
        <w:fldChar w:fldCharType="end"/>
      </w:r>
    </w:p>
    <w:p w:rsidR="00E855E3" w:rsidRPr="00E855E3" w:rsidRDefault="00E855E3" w:rsidP="00E855E3">
      <w:pPr>
        <w:spacing w:after="120"/>
      </w:pPr>
    </w:p>
    <w:p w:rsidR="00E855E3" w:rsidRPr="00E855E3" w:rsidRDefault="00E855E3" w:rsidP="00E855E3">
      <w:pPr>
        <w:spacing w:after="120"/>
      </w:pPr>
      <w:r w:rsidRPr="00E855E3">
        <w:t>Comments to Vermont Public Service Commission on Case No. 19-2956-INV</w:t>
      </w:r>
    </w:p>
    <w:p w:rsidR="00E855E3" w:rsidRPr="00E855E3" w:rsidRDefault="00E855E3" w:rsidP="00E855E3">
      <w:pPr>
        <w:spacing w:after="120"/>
      </w:pPr>
      <w:r w:rsidRPr="00E855E3">
        <w:t>Recommendations on the goals, scope, structure, and schedule of this proceeding</w:t>
      </w:r>
    </w:p>
    <w:p w:rsidR="00E855E3" w:rsidRPr="00E855E3" w:rsidRDefault="00E855E3" w:rsidP="00E855E3">
      <w:pPr>
        <w:spacing w:after="120"/>
      </w:pPr>
    </w:p>
    <w:p w:rsidR="00E855E3" w:rsidRPr="00E855E3" w:rsidRDefault="00E855E3" w:rsidP="00E855E3">
      <w:pPr>
        <w:spacing w:after="120"/>
      </w:pPr>
      <w:r w:rsidRPr="00E855E3">
        <w:t>To the commissioners:</w:t>
      </w:r>
    </w:p>
    <w:p w:rsidR="00E855E3" w:rsidRPr="00E855E3" w:rsidRDefault="00E855E3" w:rsidP="00E855E3">
      <w:pPr>
        <w:spacing w:after="120"/>
      </w:pPr>
    </w:p>
    <w:p w:rsidR="00E855E3" w:rsidRPr="00E855E3" w:rsidRDefault="00E855E3" w:rsidP="00E855E3">
      <w:pPr>
        <w:spacing w:after="120"/>
      </w:pPr>
      <w:r w:rsidRPr="00E855E3">
        <w:t>We submit these comments regarding potential inclusion of energy storage in the Vermont Energy Efficiency Program, as contemplated in Act 62 of the Vermont Legislature.</w:t>
      </w:r>
    </w:p>
    <w:p w:rsidR="00E855E3" w:rsidRPr="00E855E3" w:rsidRDefault="00E855E3" w:rsidP="00E855E3">
      <w:pPr>
        <w:spacing w:after="120"/>
      </w:pPr>
      <w:r w:rsidRPr="00E855E3">
        <w:t xml:space="preserve">Clean Energy Group and Clean Energy States Alliance have extensive experience with this topic, notably in the state of Massachusetts, which this year became the first state to incorporate energy storage into its energy efficiency plan, as a peak reduction measure. CEG/CESA worked closely with the Massachusetts Department of Energy Resources, the Massachusetts Energy Efficiency Advisory Committee, and other clean energy NGOs on this issue. </w:t>
      </w:r>
      <w:proofErr w:type="gramStart"/>
      <w:r w:rsidRPr="00E855E3">
        <w:t>In particular, CEG</w:t>
      </w:r>
      <w:proofErr w:type="gramEnd"/>
      <w:r w:rsidRPr="00E855E3">
        <w:t xml:space="preserve"> contracted the Applied Economics Clinic (AEC) to conduct an independent cost/benefit analysis of behind-the-meter battery storage, which showed that storage passed the required Total Benefit Cost (TRC) test and was therefore eligible to be included in the energy efficiency plan. CEG further contracted with AEC to review the energy efficiency program administrators’ own cost/benefit analysis, and to identify and calculate values for seven non-energy benefits of energy storage, which were not included in the </w:t>
      </w:r>
      <w:proofErr w:type="spellStart"/>
      <w:r w:rsidRPr="00E855E3">
        <w:t>PAs’</w:t>
      </w:r>
      <w:proofErr w:type="spellEnd"/>
      <w:r w:rsidRPr="00E855E3">
        <w:t xml:space="preserve"> TRC test. This work, along with an explanation of how peak demand reduction creates valuable efficiencies in the electric system, is included in our recent report, </w:t>
      </w:r>
      <w:hyperlink r:id="rId10" w:history="1">
        <w:r w:rsidRPr="00E855E3">
          <w:rPr>
            <w:rStyle w:val="Hyperlink"/>
          </w:rPr>
          <w:t>Energy Storage: The New Efficiency</w:t>
        </w:r>
      </w:hyperlink>
      <w:r w:rsidRPr="00E855E3">
        <w:t xml:space="preserve">. </w:t>
      </w:r>
    </w:p>
    <w:p w:rsidR="00E855E3" w:rsidRPr="00E855E3" w:rsidRDefault="00E855E3" w:rsidP="00E855E3">
      <w:pPr>
        <w:spacing w:after="120"/>
      </w:pPr>
      <w:r w:rsidRPr="00E855E3">
        <w:t xml:space="preserve">It is notable that in the few short months since Massachusetts included storage in its efficiency plan, </w:t>
      </w:r>
      <w:proofErr w:type="gramStart"/>
      <w:r w:rsidRPr="00E855E3">
        <w:t>a number of</w:t>
      </w:r>
      <w:proofErr w:type="gramEnd"/>
      <w:r w:rsidRPr="00E855E3">
        <w:t xml:space="preserve"> other New England states are contemplating doing the same. Proposals are being considered in New Hampshire and Connecticut, and storage has already been incorporated as part of National Grid’s energy efficiency offerings in Rhode Island.</w:t>
      </w:r>
    </w:p>
    <w:p w:rsidR="00E855E3" w:rsidRPr="00E855E3" w:rsidRDefault="00E855E3" w:rsidP="00E855E3">
      <w:pPr>
        <w:spacing w:after="120"/>
      </w:pPr>
      <w:r w:rsidRPr="00E855E3">
        <w:t>We would also note that CEG/CESA has a long history of energy storage work in Vermont, including work on the groundbreaking Stafford Hill Microgrid in Rutland (with GMP) and the McKnight Lane redevelopment project in Waltham (with GMP and VEIC). We also provided technical support to the VT DPS in writing the Vermont Energy Storage Study (Act 53 Report to the Vermont General Assembly). The McKnight Lane project was a precursor to GMP’s larger Tesla and BYOD residential battery programs. I have twice been invited to provide expert testimony on energy storage to the VT House Energy &amp; Technology Committee, most recently in April of this year on the topic of energy storage as an efficiency measure, following publication of our report (linked above).</w:t>
      </w:r>
    </w:p>
    <w:p w:rsidR="00E855E3" w:rsidRPr="00E855E3" w:rsidRDefault="00E855E3" w:rsidP="00E855E3">
      <w:pPr>
        <w:spacing w:after="120"/>
      </w:pPr>
      <w:proofErr w:type="gramStart"/>
      <w:r w:rsidRPr="00E855E3">
        <w:lastRenderedPageBreak/>
        <w:t>With regard to</w:t>
      </w:r>
      <w:proofErr w:type="gramEnd"/>
      <w:r w:rsidRPr="00E855E3">
        <w:t xml:space="preserve"> the question of whether to include battery storage in the Vermont energy efficiency program, we believe this can and should be achieved, with the following conditions:</w:t>
      </w:r>
    </w:p>
    <w:p w:rsidR="00E855E3" w:rsidRPr="00E855E3" w:rsidRDefault="00E855E3" w:rsidP="00E855E3">
      <w:pPr>
        <w:pStyle w:val="ListParagraph"/>
        <w:numPr>
          <w:ilvl w:val="0"/>
          <w:numId w:val="2"/>
        </w:numPr>
        <w:spacing w:after="120"/>
        <w:contextualSpacing w:val="0"/>
        <w:rPr>
          <w:rFonts w:ascii="Times New Roman" w:hAnsi="Times New Roman" w:cs="Times New Roman"/>
          <w:sz w:val="24"/>
          <w:szCs w:val="24"/>
        </w:rPr>
      </w:pPr>
      <w:r w:rsidRPr="00E855E3">
        <w:rPr>
          <w:rFonts w:ascii="Times New Roman" w:hAnsi="Times New Roman" w:cs="Times New Roman"/>
          <w:sz w:val="24"/>
          <w:szCs w:val="24"/>
        </w:rPr>
        <w:t>Energy storage should be added to the existing energy efficiency program with no expansion of the program budget. Instead, storage would begin to displace some existing efficiency measures, such as lighting, that are of diminishing utility (due to federal lighting efficiency standards).</w:t>
      </w:r>
    </w:p>
    <w:p w:rsidR="00E855E3" w:rsidRPr="00E855E3" w:rsidRDefault="00E855E3" w:rsidP="00E855E3">
      <w:pPr>
        <w:pStyle w:val="ListParagraph"/>
        <w:numPr>
          <w:ilvl w:val="0"/>
          <w:numId w:val="2"/>
        </w:numPr>
        <w:spacing w:after="120"/>
        <w:contextualSpacing w:val="0"/>
        <w:rPr>
          <w:rFonts w:ascii="Times New Roman" w:hAnsi="Times New Roman" w:cs="Times New Roman"/>
          <w:sz w:val="24"/>
          <w:szCs w:val="24"/>
        </w:rPr>
      </w:pPr>
      <w:r w:rsidRPr="00E855E3">
        <w:rPr>
          <w:rFonts w:ascii="Times New Roman" w:hAnsi="Times New Roman" w:cs="Times New Roman"/>
          <w:sz w:val="24"/>
          <w:szCs w:val="24"/>
        </w:rPr>
        <w:t>Customer incentives should be a combination of a rebate and performance payments, with added incentive and/or low/no-cost financing for low-income customers. The performance payments are important to provide a price signal, which will ensure that customer batteries are dispatched on peak, thus providing the greatest benefit to ratepayers. Direct dispatch control by the utility is not necessary.</w:t>
      </w:r>
    </w:p>
    <w:p w:rsidR="00E855E3" w:rsidRPr="00E855E3" w:rsidRDefault="00E855E3" w:rsidP="00E855E3">
      <w:pPr>
        <w:pStyle w:val="ListParagraph"/>
        <w:numPr>
          <w:ilvl w:val="0"/>
          <w:numId w:val="2"/>
        </w:numPr>
        <w:spacing w:after="120"/>
        <w:contextualSpacing w:val="0"/>
        <w:rPr>
          <w:rFonts w:ascii="Times New Roman" w:hAnsi="Times New Roman" w:cs="Times New Roman"/>
          <w:sz w:val="24"/>
          <w:szCs w:val="24"/>
        </w:rPr>
      </w:pPr>
      <w:r w:rsidRPr="00E855E3">
        <w:rPr>
          <w:rFonts w:ascii="Times New Roman" w:hAnsi="Times New Roman" w:cs="Times New Roman"/>
          <w:sz w:val="24"/>
          <w:szCs w:val="24"/>
        </w:rPr>
        <w:t>We are agnostic as to whether Efficiency Vermont administers a single customer battery program in collaboration with the distribution utilities, or whether there are two or more parallel programs (utility programs and an energy efficiency program) for customers to choose from. What is important is that third party developers/aggregators (solar and storage installers) be allowed to participate by marketing batteries to customers and aggregating distributed systems. This will create a more competitive and diverse market for energy storage in Vermont.</w:t>
      </w:r>
    </w:p>
    <w:p w:rsidR="00E855E3" w:rsidRPr="00E855E3" w:rsidRDefault="00E855E3" w:rsidP="00E855E3">
      <w:pPr>
        <w:spacing w:after="120"/>
      </w:pPr>
      <w:r w:rsidRPr="00E855E3">
        <w:t>We look forward to contributing to the consideration of energy storage in Vermont’s energy efficiency program. In response to the PUC’s request for comments on the goals, scope, structure, and schedule of this proceeding, we offer the following comments.</w:t>
      </w:r>
    </w:p>
    <w:p w:rsidR="00E855E3" w:rsidRPr="00E855E3" w:rsidRDefault="00E855E3" w:rsidP="00E855E3">
      <w:pPr>
        <w:spacing w:after="120"/>
      </w:pPr>
    </w:p>
    <w:p w:rsidR="00E855E3" w:rsidRPr="00E855E3" w:rsidRDefault="00E855E3" w:rsidP="00E855E3">
      <w:pPr>
        <w:pStyle w:val="ListParagraph"/>
        <w:numPr>
          <w:ilvl w:val="0"/>
          <w:numId w:val="1"/>
        </w:numPr>
        <w:spacing w:after="120"/>
        <w:contextualSpacing w:val="0"/>
        <w:rPr>
          <w:rFonts w:ascii="Times New Roman" w:hAnsi="Times New Roman" w:cs="Times New Roman"/>
          <w:b/>
          <w:sz w:val="24"/>
          <w:szCs w:val="24"/>
        </w:rPr>
      </w:pPr>
      <w:r w:rsidRPr="00E855E3">
        <w:rPr>
          <w:rFonts w:ascii="Times New Roman" w:hAnsi="Times New Roman" w:cs="Times New Roman"/>
          <w:b/>
          <w:sz w:val="24"/>
          <w:szCs w:val="24"/>
        </w:rPr>
        <w:t>Goals</w:t>
      </w:r>
    </w:p>
    <w:p w:rsidR="00E855E3" w:rsidRPr="00E855E3" w:rsidRDefault="00E855E3" w:rsidP="00E855E3">
      <w:pPr>
        <w:pStyle w:val="ListParagraph"/>
        <w:numPr>
          <w:ilvl w:val="1"/>
          <w:numId w:val="1"/>
        </w:numPr>
        <w:spacing w:after="120"/>
        <w:contextualSpacing w:val="0"/>
        <w:rPr>
          <w:rFonts w:ascii="Times New Roman" w:hAnsi="Times New Roman" w:cs="Times New Roman"/>
          <w:sz w:val="24"/>
          <w:szCs w:val="24"/>
        </w:rPr>
      </w:pPr>
      <w:r w:rsidRPr="00E855E3">
        <w:rPr>
          <w:rFonts w:ascii="Times New Roman" w:hAnsi="Times New Roman" w:cs="Times New Roman"/>
          <w:b/>
          <w:sz w:val="24"/>
          <w:szCs w:val="24"/>
          <w:u w:val="single"/>
        </w:rPr>
        <w:t>Establish value.</w:t>
      </w:r>
      <w:r w:rsidRPr="00E855E3">
        <w:rPr>
          <w:rFonts w:ascii="Times New Roman" w:hAnsi="Times New Roman" w:cs="Times New Roman"/>
          <w:sz w:val="24"/>
          <w:szCs w:val="24"/>
        </w:rPr>
        <w:t xml:space="preserve"> Among the goals of this proceeding should be to </w:t>
      </w:r>
      <w:r w:rsidRPr="00E855E3">
        <w:rPr>
          <w:rFonts w:ascii="Times New Roman" w:hAnsi="Times New Roman" w:cs="Times New Roman"/>
          <w:b/>
          <w:sz w:val="24"/>
          <w:szCs w:val="24"/>
        </w:rPr>
        <w:t>increase the commission’s understanding of the value of behind-the-meter energy storage as a peak demand reduction measure in Vermont.</w:t>
      </w:r>
      <w:r w:rsidRPr="00E855E3">
        <w:rPr>
          <w:rFonts w:ascii="Times New Roman" w:hAnsi="Times New Roman" w:cs="Times New Roman"/>
          <w:sz w:val="24"/>
          <w:szCs w:val="24"/>
        </w:rPr>
        <w:t xml:space="preserve"> Traditionally, energy efficiency has been understood as a reduction in net consumption. However, there are other forms of efficiency. One key to the inclusion of energy storage in the MA EE program was the recognition that peak demand reduction is a form of efficiency that can deliver great economic savings. The State of Charge report concluded, based on data from ISO-New England, that 40% of the state’s overall cost of electricity (paid by ratepayers) was attributable to just 10% of the hours each year. Because these occasional annual peak demand hours are so costly, a technology that can reduce peaks and flatten the demand curve can deliver significant cost savings to ratepayers, even though it may not reduce net consumption. </w:t>
      </w:r>
      <w:proofErr w:type="gramStart"/>
      <w:r w:rsidRPr="00E855E3">
        <w:rPr>
          <w:rFonts w:ascii="Times New Roman" w:hAnsi="Times New Roman" w:cs="Times New Roman"/>
          <w:sz w:val="24"/>
          <w:szCs w:val="24"/>
        </w:rPr>
        <w:t>This is why</w:t>
      </w:r>
      <w:proofErr w:type="gramEnd"/>
      <w:r w:rsidRPr="00E855E3">
        <w:rPr>
          <w:rFonts w:ascii="Times New Roman" w:hAnsi="Times New Roman" w:cs="Times New Roman"/>
          <w:sz w:val="24"/>
          <w:szCs w:val="24"/>
        </w:rPr>
        <w:t xml:space="preserve"> peak demand reduction was legislatively included among the goals of the MA EE plan (see the 2008 Green Communities Act, the </w:t>
      </w:r>
      <w:r w:rsidRPr="00E855E3">
        <w:rPr>
          <w:rFonts w:ascii="Times New Roman" w:hAnsi="Times New Roman" w:cs="Times New Roman"/>
          <w:sz w:val="24"/>
          <w:szCs w:val="24"/>
        </w:rPr>
        <w:lastRenderedPageBreak/>
        <w:t>2016 Act to Promote Energy Diversity, and the 2018 Act to Advance Clean Energy). For example, the Act to Advance Clean Energy specifically allows the use of energy efficiency funds to support the deployment of cost-effective energy storage “if the department determines that the energy storage system installed at a customer’s premises provides sustainable peak load reductions.”</w:t>
      </w:r>
      <w:r w:rsidRPr="00E855E3">
        <w:rPr>
          <w:rFonts w:ascii="Times New Roman" w:hAnsi="Times New Roman" w:cs="Times New Roman"/>
          <w:sz w:val="24"/>
          <w:szCs w:val="24"/>
        </w:rPr>
        <w:br/>
        <w:t xml:space="preserve">These laws make it clear that the MA energy efficiency program is to achieve reductions both in electricity </w:t>
      </w:r>
      <w:r w:rsidRPr="00E855E3">
        <w:rPr>
          <w:rFonts w:ascii="Times New Roman" w:hAnsi="Times New Roman" w:cs="Times New Roman"/>
          <w:i/>
          <w:sz w:val="24"/>
          <w:szCs w:val="24"/>
        </w:rPr>
        <w:t>consumption</w:t>
      </w:r>
      <w:r w:rsidRPr="00E855E3">
        <w:rPr>
          <w:rFonts w:ascii="Times New Roman" w:hAnsi="Times New Roman" w:cs="Times New Roman"/>
          <w:sz w:val="24"/>
          <w:szCs w:val="24"/>
        </w:rPr>
        <w:t xml:space="preserve"> and in electricity </w:t>
      </w:r>
      <w:r w:rsidRPr="00E855E3">
        <w:rPr>
          <w:rFonts w:ascii="Times New Roman" w:hAnsi="Times New Roman" w:cs="Times New Roman"/>
          <w:i/>
          <w:sz w:val="24"/>
          <w:szCs w:val="24"/>
        </w:rPr>
        <w:t>demand,</w:t>
      </w:r>
      <w:r w:rsidRPr="00E855E3">
        <w:rPr>
          <w:rFonts w:ascii="Times New Roman" w:hAnsi="Times New Roman" w:cs="Times New Roman"/>
          <w:sz w:val="24"/>
          <w:szCs w:val="24"/>
        </w:rPr>
        <w:t xml:space="preserve"> and that both of these objectives provide value to ratepayers. Energy storage, installed behind a customer’s meter, is a technology that can be used to reduce electricity demand.</w:t>
      </w:r>
      <w:r w:rsidRPr="00E855E3">
        <w:rPr>
          <w:rFonts w:ascii="Times New Roman" w:hAnsi="Times New Roman" w:cs="Times New Roman"/>
          <w:sz w:val="24"/>
          <w:szCs w:val="24"/>
        </w:rPr>
        <w:br/>
        <w:t xml:space="preserve">Peak load reduction clearly has value in Vermont as it does in Massachusetts. Because both states are within the ISO-New England wholesale market, and utilities in both states pay the same prices for capacity (based on the ISO’s 3-year forward capacity market), the value of peak demand reduction in Vermont should be </w:t>
      </w:r>
      <w:proofErr w:type="gramStart"/>
      <w:r w:rsidRPr="00E855E3">
        <w:rPr>
          <w:rFonts w:ascii="Times New Roman" w:hAnsi="Times New Roman" w:cs="Times New Roman"/>
          <w:sz w:val="24"/>
          <w:szCs w:val="24"/>
        </w:rPr>
        <w:t>similar to</w:t>
      </w:r>
      <w:proofErr w:type="gramEnd"/>
      <w:r w:rsidRPr="00E855E3">
        <w:rPr>
          <w:rFonts w:ascii="Times New Roman" w:hAnsi="Times New Roman" w:cs="Times New Roman"/>
          <w:sz w:val="24"/>
          <w:szCs w:val="24"/>
        </w:rPr>
        <w:t xml:space="preserve"> what it is in Massachusetts. We know there is such a value because Green Mountain Power has demonstrated significant savings by aggregating and discharging thousands of customer-sited batteries during regional demand peaks. Specifically, GMP saved more than $750,000 last year by discharging batteries, many of which were located behind customer meters, during the 1-hour annual regional peak demand event.</w:t>
      </w:r>
      <w:r w:rsidRPr="00E855E3">
        <w:rPr>
          <w:rStyle w:val="FootnoteReference"/>
          <w:rFonts w:ascii="Times New Roman" w:hAnsi="Times New Roman" w:cs="Times New Roman"/>
          <w:sz w:val="24"/>
          <w:szCs w:val="24"/>
        </w:rPr>
        <w:footnoteReference w:id="1"/>
      </w:r>
      <w:r w:rsidRPr="00E855E3">
        <w:rPr>
          <w:rFonts w:ascii="Times New Roman" w:hAnsi="Times New Roman" w:cs="Times New Roman"/>
          <w:sz w:val="24"/>
          <w:szCs w:val="24"/>
        </w:rPr>
        <w:t xml:space="preserve"> Given this experience, testimony from GMP should be very useful in helping the Commission to assess the value of behind-the-meter battery deployment in Vermont.</w:t>
      </w:r>
      <w:r w:rsidRPr="00E855E3">
        <w:rPr>
          <w:rFonts w:ascii="Times New Roman" w:hAnsi="Times New Roman" w:cs="Times New Roman"/>
          <w:sz w:val="24"/>
          <w:szCs w:val="24"/>
        </w:rPr>
        <w:br/>
        <w:t xml:space="preserve">We note that Vermont Title 30, Chapter 005, states that among the objectives of the Energy Efficiency Fund is “reducing Vermont's total energy demand, consumption, and expenditures,” and further states that in order to achieve this, the Commission shall “Consider innovative approaches to delivering energy efficiency.” </w:t>
      </w:r>
      <w:proofErr w:type="gramStart"/>
      <w:r w:rsidRPr="00E855E3">
        <w:rPr>
          <w:rFonts w:ascii="Times New Roman" w:hAnsi="Times New Roman" w:cs="Times New Roman"/>
          <w:sz w:val="24"/>
          <w:szCs w:val="24"/>
        </w:rPr>
        <w:t>Thus</w:t>
      </w:r>
      <w:proofErr w:type="gramEnd"/>
      <w:r w:rsidRPr="00E855E3">
        <w:rPr>
          <w:rFonts w:ascii="Times New Roman" w:hAnsi="Times New Roman" w:cs="Times New Roman"/>
          <w:sz w:val="24"/>
          <w:szCs w:val="24"/>
        </w:rPr>
        <w:t xml:space="preserve"> it may not be necessary to amend the existing law in order to include energy storage in the Vermont energy efficiency program. However, in considering battery storage as an “innovative approach,” the Commission should seek to better characterize and quantify the value of peak load reduction in Vermont. </w:t>
      </w:r>
    </w:p>
    <w:p w:rsidR="00E855E3" w:rsidRPr="00E855E3" w:rsidRDefault="00E855E3" w:rsidP="00E855E3">
      <w:pPr>
        <w:pStyle w:val="ListParagraph"/>
        <w:numPr>
          <w:ilvl w:val="1"/>
          <w:numId w:val="1"/>
        </w:numPr>
        <w:spacing w:after="120"/>
        <w:contextualSpacing w:val="0"/>
        <w:rPr>
          <w:rFonts w:ascii="Times New Roman" w:hAnsi="Times New Roman" w:cs="Times New Roman"/>
          <w:sz w:val="24"/>
          <w:szCs w:val="24"/>
        </w:rPr>
      </w:pPr>
      <w:r w:rsidRPr="00E855E3">
        <w:rPr>
          <w:rFonts w:ascii="Times New Roman" w:hAnsi="Times New Roman" w:cs="Times New Roman"/>
          <w:b/>
          <w:sz w:val="24"/>
          <w:szCs w:val="24"/>
          <w:u w:val="single"/>
        </w:rPr>
        <w:t>Explore incentive mechanisms.</w:t>
      </w:r>
      <w:r w:rsidRPr="00E855E3">
        <w:rPr>
          <w:rFonts w:ascii="Times New Roman" w:hAnsi="Times New Roman" w:cs="Times New Roman"/>
          <w:sz w:val="24"/>
          <w:szCs w:val="24"/>
        </w:rPr>
        <w:t xml:space="preserve"> Another goal of this proceeding should be to consider </w:t>
      </w:r>
      <w:r w:rsidRPr="00E855E3">
        <w:rPr>
          <w:rFonts w:ascii="Times New Roman" w:hAnsi="Times New Roman" w:cs="Times New Roman"/>
          <w:b/>
          <w:sz w:val="24"/>
          <w:szCs w:val="24"/>
        </w:rPr>
        <w:t>how best to incentivize behind-the-meter energy storage in Vermont.</w:t>
      </w:r>
      <w:r w:rsidRPr="00E855E3">
        <w:rPr>
          <w:rFonts w:ascii="Times New Roman" w:hAnsi="Times New Roman" w:cs="Times New Roman"/>
          <w:sz w:val="24"/>
          <w:szCs w:val="24"/>
        </w:rPr>
        <w:t xml:space="preserve"> It will be important that the incentive mechanism fairly compensates customers who install </w:t>
      </w:r>
      <w:proofErr w:type="gramStart"/>
      <w:r w:rsidRPr="00E855E3">
        <w:rPr>
          <w:rFonts w:ascii="Times New Roman" w:hAnsi="Times New Roman" w:cs="Times New Roman"/>
          <w:sz w:val="24"/>
          <w:szCs w:val="24"/>
        </w:rPr>
        <w:t>storage, and</w:t>
      </w:r>
      <w:proofErr w:type="gramEnd"/>
      <w:r w:rsidRPr="00E855E3">
        <w:rPr>
          <w:rFonts w:ascii="Times New Roman" w:hAnsi="Times New Roman" w:cs="Times New Roman"/>
          <w:sz w:val="24"/>
          <w:szCs w:val="24"/>
        </w:rPr>
        <w:t xml:space="preserve"> is inclusive of low-income communities. At the same time, it will be desirable to provide a price signal or other mechanism to ensure that behind-the-meter batteries are discharged on peak, in order to meet the state’s </w:t>
      </w:r>
      <w:r w:rsidRPr="00E855E3">
        <w:rPr>
          <w:rFonts w:ascii="Times New Roman" w:hAnsi="Times New Roman" w:cs="Times New Roman"/>
          <w:sz w:val="24"/>
          <w:szCs w:val="24"/>
        </w:rPr>
        <w:lastRenderedPageBreak/>
        <w:t>efficiency goals.</w:t>
      </w:r>
      <w:r w:rsidRPr="00E855E3">
        <w:rPr>
          <w:rFonts w:ascii="Times New Roman" w:hAnsi="Times New Roman" w:cs="Times New Roman"/>
          <w:sz w:val="24"/>
          <w:szCs w:val="24"/>
        </w:rPr>
        <w:br/>
        <w:t>Battery storage is unlike many other traditional efficiency measures in that mere installation of a battery does not guarantee it will be used in a way that delivers value to ratepayers. For this reason, offering a battery rebate alone is unlikely to result in significant peak demand reduction. A performance payment, such as was developed for the MA program, incentivizes on-peak battery discharge, but does little to assist the customer in defraying the initial cost of the storage system.</w:t>
      </w:r>
      <w:r w:rsidRPr="00E855E3">
        <w:rPr>
          <w:rStyle w:val="FootnoteReference"/>
          <w:rFonts w:ascii="Times New Roman" w:hAnsi="Times New Roman" w:cs="Times New Roman"/>
          <w:sz w:val="24"/>
          <w:szCs w:val="24"/>
        </w:rPr>
        <w:footnoteReference w:id="2"/>
      </w:r>
      <w:r w:rsidRPr="00E855E3">
        <w:rPr>
          <w:rFonts w:ascii="Times New Roman" w:hAnsi="Times New Roman" w:cs="Times New Roman"/>
          <w:sz w:val="24"/>
          <w:szCs w:val="24"/>
        </w:rPr>
        <w:t xml:space="preserve"> </w:t>
      </w:r>
      <w:r w:rsidRPr="00E855E3">
        <w:rPr>
          <w:rFonts w:ascii="Times New Roman" w:hAnsi="Times New Roman" w:cs="Times New Roman"/>
          <w:sz w:val="24"/>
          <w:szCs w:val="24"/>
        </w:rPr>
        <w:br/>
        <w:t>Based on our experience in MA and other states, we suggest a hybrid approach, combining both an up-front rebate and seasonal or annual performance payments. We also suggest low- or no-cost financing, as is provided in MA through the HEAT loan program. And we urge Vermont to provide both a carve-out and an adder to encourage the participation of low-income customers.</w:t>
      </w:r>
      <w:r w:rsidRPr="00E855E3">
        <w:rPr>
          <w:rFonts w:ascii="Times New Roman" w:hAnsi="Times New Roman" w:cs="Times New Roman"/>
          <w:sz w:val="24"/>
          <w:szCs w:val="24"/>
        </w:rPr>
        <w:br/>
        <w:t>Again, GMP will be able to provide good data on incentive structures and rates based on its experience in its Tesla and BYOD programs. However, it will also be important to look as well at the programs proposed or under development in other New England states, especially from National Grid in MA and RI, Eversource in MA and CT, and Liberty Utilities in NH. Additionally, Cape Light Compact in MA proposed a very different program to the MA DPU, which is currently under discussion and should be considered as an alternative.</w:t>
      </w:r>
      <w:r w:rsidRPr="00E855E3">
        <w:rPr>
          <w:rFonts w:ascii="Times New Roman" w:hAnsi="Times New Roman" w:cs="Times New Roman"/>
          <w:sz w:val="24"/>
          <w:szCs w:val="24"/>
        </w:rPr>
        <w:br/>
        <w:t>In considering incentives, it should not be necessary to increase the efficiency program budget. Incorporating new efficiency technologies into energy efficiency programs is a best practice, but this does not mean that program budgets expand every time a new efficiency measure is introduced.</w:t>
      </w:r>
    </w:p>
    <w:p w:rsidR="00E855E3" w:rsidRPr="00E855E3" w:rsidRDefault="00E855E3" w:rsidP="00E855E3">
      <w:pPr>
        <w:pStyle w:val="ListParagraph"/>
        <w:spacing w:after="120"/>
        <w:ind w:left="1440"/>
        <w:contextualSpacing w:val="0"/>
        <w:rPr>
          <w:rFonts w:ascii="Times New Roman" w:hAnsi="Times New Roman" w:cs="Times New Roman"/>
          <w:sz w:val="24"/>
          <w:szCs w:val="24"/>
        </w:rPr>
      </w:pPr>
    </w:p>
    <w:p w:rsidR="00E855E3" w:rsidRPr="00E855E3" w:rsidRDefault="00E855E3" w:rsidP="00E855E3">
      <w:pPr>
        <w:pStyle w:val="ListParagraph"/>
        <w:numPr>
          <w:ilvl w:val="0"/>
          <w:numId w:val="1"/>
        </w:numPr>
        <w:spacing w:after="120"/>
        <w:contextualSpacing w:val="0"/>
        <w:rPr>
          <w:rFonts w:ascii="Times New Roman" w:hAnsi="Times New Roman" w:cs="Times New Roman"/>
          <w:b/>
          <w:sz w:val="24"/>
          <w:szCs w:val="24"/>
        </w:rPr>
      </w:pPr>
      <w:r w:rsidRPr="00E855E3">
        <w:rPr>
          <w:rFonts w:ascii="Times New Roman" w:hAnsi="Times New Roman" w:cs="Times New Roman"/>
          <w:b/>
          <w:sz w:val="24"/>
          <w:szCs w:val="24"/>
        </w:rPr>
        <w:t>Scope</w:t>
      </w:r>
    </w:p>
    <w:p w:rsidR="00E855E3" w:rsidRPr="00E855E3" w:rsidRDefault="00E855E3" w:rsidP="00E855E3">
      <w:pPr>
        <w:pStyle w:val="ListParagraph"/>
        <w:numPr>
          <w:ilvl w:val="1"/>
          <w:numId w:val="1"/>
        </w:numPr>
        <w:spacing w:after="120"/>
        <w:contextualSpacing w:val="0"/>
        <w:rPr>
          <w:rFonts w:ascii="Times New Roman" w:hAnsi="Times New Roman" w:cs="Times New Roman"/>
          <w:sz w:val="24"/>
          <w:szCs w:val="24"/>
        </w:rPr>
      </w:pPr>
      <w:r w:rsidRPr="00E855E3">
        <w:rPr>
          <w:rFonts w:ascii="Times New Roman" w:hAnsi="Times New Roman" w:cs="Times New Roman"/>
          <w:b/>
          <w:sz w:val="24"/>
          <w:szCs w:val="24"/>
        </w:rPr>
        <w:t>Consider how other states are integrating energy storage into their energy efficiency programs.</w:t>
      </w:r>
      <w:r w:rsidRPr="00E855E3">
        <w:rPr>
          <w:rFonts w:ascii="Times New Roman" w:hAnsi="Times New Roman" w:cs="Times New Roman"/>
          <w:sz w:val="24"/>
          <w:szCs w:val="24"/>
        </w:rPr>
        <w:t xml:space="preserve"> As noted above, CEG worked extensively with Massachusetts to get energy storage included in the three-year MA energy efficiency plan, which began in </w:t>
      </w:r>
      <w:proofErr w:type="gramStart"/>
      <w:r w:rsidRPr="00E855E3">
        <w:rPr>
          <w:rFonts w:ascii="Times New Roman" w:hAnsi="Times New Roman" w:cs="Times New Roman"/>
          <w:sz w:val="24"/>
          <w:szCs w:val="24"/>
        </w:rPr>
        <w:t>January,</w:t>
      </w:r>
      <w:proofErr w:type="gramEnd"/>
      <w:r w:rsidRPr="00E855E3">
        <w:rPr>
          <w:rFonts w:ascii="Times New Roman" w:hAnsi="Times New Roman" w:cs="Times New Roman"/>
          <w:sz w:val="24"/>
          <w:szCs w:val="24"/>
        </w:rPr>
        <w:t xml:space="preserve"> 2019. The two main utilities in MA, Eversource and National Grid, have now proposed or are offering similar programs in Rhode Island, New Hampshire and Connecticut. Liberty Utilities is also offering a residential battery pilot in New Hampshire, and Cape Light Compact has proposed an alternate customer battery program in their service </w:t>
      </w:r>
      <w:r w:rsidRPr="00E855E3">
        <w:rPr>
          <w:rFonts w:ascii="Times New Roman" w:hAnsi="Times New Roman" w:cs="Times New Roman"/>
          <w:sz w:val="24"/>
          <w:szCs w:val="24"/>
        </w:rPr>
        <w:lastRenderedPageBreak/>
        <w:t>territory on Cape Cod. Vermont should survey these programs and learn from them. CEG would be happy to help with such an effort.</w:t>
      </w:r>
    </w:p>
    <w:p w:rsidR="00E855E3" w:rsidRPr="00E855E3" w:rsidRDefault="00E855E3" w:rsidP="00E855E3">
      <w:pPr>
        <w:pStyle w:val="ListParagraph"/>
        <w:numPr>
          <w:ilvl w:val="1"/>
          <w:numId w:val="1"/>
        </w:numPr>
        <w:spacing w:after="120"/>
        <w:contextualSpacing w:val="0"/>
        <w:rPr>
          <w:rFonts w:ascii="Times New Roman" w:hAnsi="Times New Roman" w:cs="Times New Roman"/>
          <w:sz w:val="24"/>
          <w:szCs w:val="24"/>
        </w:rPr>
      </w:pPr>
      <w:r w:rsidRPr="00E855E3">
        <w:rPr>
          <w:rFonts w:ascii="Times New Roman" w:hAnsi="Times New Roman" w:cs="Times New Roman"/>
          <w:b/>
          <w:sz w:val="24"/>
          <w:szCs w:val="24"/>
        </w:rPr>
        <w:t>Consider how storage in the energy efficiency program would interact with other related programs in Vermont.</w:t>
      </w:r>
      <w:r w:rsidRPr="00E855E3">
        <w:rPr>
          <w:rFonts w:ascii="Times New Roman" w:hAnsi="Times New Roman" w:cs="Times New Roman"/>
          <w:sz w:val="24"/>
          <w:szCs w:val="24"/>
        </w:rPr>
        <w:t xml:space="preserve"> One important issue that was addressed in MA was how storage in the EE program would interact with other programs, such as the MA SMART solar rebate (which includes a storage adder) and the MA net metering program. Currently, customers installing solar and storage in MA are eligible to participate in all three programs (net metering, SMART rebate and EE storage performance payments). These three programs work in tandem: the SMART program provides a rebate for both the solar and the storage, the net metering program compensates customers for renewable electricity generated by their solar panels, and the EE performance payment compensates customers for discharging their batteries during peak demand hours. However, there are some requirements to ensure that program rules are adhered to (for example, </w:t>
      </w:r>
      <w:proofErr w:type="spellStart"/>
      <w:r w:rsidRPr="00E855E3">
        <w:rPr>
          <w:rFonts w:ascii="Times New Roman" w:hAnsi="Times New Roman" w:cs="Times New Roman"/>
          <w:sz w:val="24"/>
          <w:szCs w:val="24"/>
        </w:rPr>
        <w:t>solar+storage</w:t>
      </w:r>
      <w:proofErr w:type="spellEnd"/>
      <w:r w:rsidRPr="00E855E3">
        <w:rPr>
          <w:rFonts w:ascii="Times New Roman" w:hAnsi="Times New Roman" w:cs="Times New Roman"/>
          <w:sz w:val="24"/>
          <w:szCs w:val="24"/>
        </w:rPr>
        <w:t xml:space="preserve"> customers with net metering contracts must install meters to show that they are not getting net metering credit for grid power exported from the battery). The Commission should consider how batteries and battery incentives, if incorporated into the Vermont energy efficiency program, would interact with other related programs, such as net metering.</w:t>
      </w:r>
    </w:p>
    <w:p w:rsidR="00E855E3" w:rsidRPr="00E855E3" w:rsidRDefault="00E855E3" w:rsidP="00E855E3">
      <w:pPr>
        <w:pStyle w:val="ListParagraph"/>
        <w:numPr>
          <w:ilvl w:val="1"/>
          <w:numId w:val="1"/>
        </w:numPr>
        <w:spacing w:after="0"/>
        <w:contextualSpacing w:val="0"/>
        <w:rPr>
          <w:rFonts w:ascii="Times New Roman" w:hAnsi="Times New Roman" w:cs="Times New Roman"/>
          <w:sz w:val="24"/>
          <w:szCs w:val="24"/>
        </w:rPr>
      </w:pPr>
      <w:r w:rsidRPr="00E855E3">
        <w:rPr>
          <w:rFonts w:ascii="Times New Roman" w:hAnsi="Times New Roman" w:cs="Times New Roman"/>
          <w:b/>
          <w:sz w:val="24"/>
          <w:szCs w:val="24"/>
        </w:rPr>
        <w:t>Consider how batteries could best be made available to customers in Vermont.</w:t>
      </w:r>
      <w:r w:rsidRPr="00E855E3">
        <w:rPr>
          <w:rFonts w:ascii="Times New Roman" w:hAnsi="Times New Roman" w:cs="Times New Roman"/>
          <w:sz w:val="24"/>
          <w:szCs w:val="24"/>
        </w:rPr>
        <w:t xml:space="preserve"> Currently, GMP customers have battery programs available to them through the distribution utility. However, other Vermonters who are not GMP customers do not have this option. This proceeding contemplates adding battery storage into the efficiency program, meaning all Vermonters could obtain batteries through Efficiency Vermont. </w:t>
      </w:r>
    </w:p>
    <w:p w:rsidR="00E855E3" w:rsidRPr="00E855E3" w:rsidRDefault="00E855E3" w:rsidP="00E855E3">
      <w:pPr>
        <w:pStyle w:val="ListParagraph"/>
        <w:spacing w:after="120"/>
        <w:ind w:left="1440"/>
        <w:contextualSpacing w:val="0"/>
        <w:rPr>
          <w:rFonts w:ascii="Times New Roman" w:hAnsi="Times New Roman" w:cs="Times New Roman"/>
          <w:sz w:val="24"/>
          <w:szCs w:val="24"/>
        </w:rPr>
      </w:pPr>
      <w:r w:rsidRPr="00E855E3">
        <w:rPr>
          <w:rFonts w:ascii="Times New Roman" w:hAnsi="Times New Roman" w:cs="Times New Roman"/>
          <w:sz w:val="24"/>
          <w:szCs w:val="24"/>
        </w:rPr>
        <w:t xml:space="preserve">We encourage the Commission to consider creative solutions to the question of how batteries should be provided to customers. There seems to be no reason that GMP could not collaborate with Efficiency Vermont on battery offerings, nor does there seem to be any reason that batteries could not be offered in parallel both through the distribution utility and through the efficiency utility. Command and control (remote dispatch) is not necessary to ensure that batteries discharge on peak; the same can be achieved using price signals, as has been done in Massachusetts. So long as these price signals are aligned with regional peak demand, the results will be the same. </w:t>
      </w:r>
    </w:p>
    <w:p w:rsidR="00E855E3" w:rsidRPr="00E855E3" w:rsidRDefault="00E855E3" w:rsidP="00E855E3">
      <w:pPr>
        <w:pStyle w:val="ListParagraph"/>
        <w:numPr>
          <w:ilvl w:val="0"/>
          <w:numId w:val="1"/>
        </w:numPr>
        <w:spacing w:after="120"/>
        <w:contextualSpacing w:val="0"/>
        <w:rPr>
          <w:rFonts w:ascii="Times New Roman" w:hAnsi="Times New Roman" w:cs="Times New Roman"/>
          <w:sz w:val="24"/>
          <w:szCs w:val="24"/>
        </w:rPr>
      </w:pPr>
      <w:r w:rsidRPr="00E855E3">
        <w:rPr>
          <w:rFonts w:ascii="Times New Roman" w:hAnsi="Times New Roman" w:cs="Times New Roman"/>
          <w:b/>
          <w:sz w:val="24"/>
          <w:szCs w:val="24"/>
        </w:rPr>
        <w:t>Structure</w:t>
      </w:r>
      <w:r w:rsidRPr="00E855E3">
        <w:rPr>
          <w:rFonts w:ascii="Times New Roman" w:hAnsi="Times New Roman" w:cs="Times New Roman"/>
          <w:sz w:val="24"/>
          <w:szCs w:val="24"/>
        </w:rPr>
        <w:br/>
        <w:t>We have no comment on the structure of this proceeding, except to urge that stakeholder input be sought</w:t>
      </w:r>
      <w:r>
        <w:rPr>
          <w:rFonts w:ascii="Times New Roman" w:hAnsi="Times New Roman" w:cs="Times New Roman"/>
          <w:sz w:val="24"/>
          <w:szCs w:val="24"/>
        </w:rPr>
        <w:t xml:space="preserve"> from a wide range of stakeholders, including solar and storage installers and </w:t>
      </w:r>
      <w:bookmarkStart w:id="0" w:name="_GoBack"/>
      <w:bookmarkEnd w:id="0"/>
      <w:r>
        <w:rPr>
          <w:rFonts w:ascii="Times New Roman" w:hAnsi="Times New Roman" w:cs="Times New Roman"/>
          <w:sz w:val="24"/>
          <w:szCs w:val="24"/>
        </w:rPr>
        <w:t>representatives of the energy storage industry</w:t>
      </w:r>
      <w:r w:rsidRPr="00E855E3">
        <w:rPr>
          <w:rFonts w:ascii="Times New Roman" w:hAnsi="Times New Roman" w:cs="Times New Roman"/>
          <w:sz w:val="24"/>
          <w:szCs w:val="24"/>
        </w:rPr>
        <w:t>.</w:t>
      </w:r>
    </w:p>
    <w:p w:rsidR="00E855E3" w:rsidRPr="00E855E3" w:rsidRDefault="00E855E3" w:rsidP="00E855E3">
      <w:pPr>
        <w:pStyle w:val="ListParagraph"/>
        <w:numPr>
          <w:ilvl w:val="0"/>
          <w:numId w:val="1"/>
        </w:numPr>
        <w:spacing w:after="120"/>
        <w:contextualSpacing w:val="0"/>
        <w:rPr>
          <w:rFonts w:ascii="Times New Roman" w:hAnsi="Times New Roman" w:cs="Times New Roman"/>
          <w:sz w:val="24"/>
          <w:szCs w:val="24"/>
        </w:rPr>
      </w:pPr>
      <w:r w:rsidRPr="00E855E3">
        <w:rPr>
          <w:rFonts w:ascii="Times New Roman" w:hAnsi="Times New Roman" w:cs="Times New Roman"/>
          <w:b/>
          <w:sz w:val="24"/>
          <w:szCs w:val="24"/>
        </w:rPr>
        <w:lastRenderedPageBreak/>
        <w:t>Schedule</w:t>
      </w:r>
      <w:r w:rsidRPr="00E855E3">
        <w:rPr>
          <w:rFonts w:ascii="Times New Roman" w:hAnsi="Times New Roman" w:cs="Times New Roman"/>
          <w:sz w:val="24"/>
          <w:szCs w:val="24"/>
        </w:rPr>
        <w:br/>
        <w:t xml:space="preserve">Given that battery storage is a relatively new technology, and that incorporating peak load reduction technologies like storage into energy efficiency programs is a new idea, we urge the Commission to </w:t>
      </w:r>
      <w:r w:rsidRPr="00E855E3">
        <w:rPr>
          <w:rFonts w:ascii="Times New Roman" w:hAnsi="Times New Roman" w:cs="Times New Roman"/>
          <w:b/>
          <w:sz w:val="24"/>
          <w:szCs w:val="24"/>
        </w:rPr>
        <w:t>schedule consideration of storage early in the docket,</w:t>
      </w:r>
      <w:r w:rsidRPr="00E855E3">
        <w:rPr>
          <w:rFonts w:ascii="Times New Roman" w:hAnsi="Times New Roman" w:cs="Times New Roman"/>
          <w:sz w:val="24"/>
          <w:szCs w:val="24"/>
        </w:rPr>
        <w:t xml:space="preserve"> to allow </w:t>
      </w:r>
      <w:proofErr w:type="gramStart"/>
      <w:r w:rsidRPr="00E855E3">
        <w:rPr>
          <w:rFonts w:ascii="Times New Roman" w:hAnsi="Times New Roman" w:cs="Times New Roman"/>
          <w:sz w:val="24"/>
          <w:szCs w:val="24"/>
        </w:rPr>
        <w:t>sufficient</w:t>
      </w:r>
      <w:proofErr w:type="gramEnd"/>
      <w:r w:rsidRPr="00E855E3">
        <w:rPr>
          <w:rFonts w:ascii="Times New Roman" w:hAnsi="Times New Roman" w:cs="Times New Roman"/>
          <w:sz w:val="24"/>
          <w:szCs w:val="24"/>
        </w:rPr>
        <w:t xml:space="preserve"> time for learning, stakeholder input and discussion. CEG would also like to offer to speak to the Commission on this topic, to explain how the Massachusetts program is structured and how similar programs proposed in other states are structured.</w:t>
      </w:r>
    </w:p>
    <w:p w:rsidR="00E855E3" w:rsidRDefault="00E855E3" w:rsidP="00E855E3">
      <w:pPr>
        <w:spacing w:after="120"/>
      </w:pPr>
    </w:p>
    <w:p w:rsidR="00E855E3" w:rsidRPr="00E855E3" w:rsidRDefault="00E855E3" w:rsidP="00E855E3">
      <w:pPr>
        <w:spacing w:after="120"/>
      </w:pPr>
      <w:r w:rsidRPr="00E855E3">
        <w:t>We thank the Commission for this opportunity to provide comments and look forward to continuing to participate in this docket.</w:t>
      </w:r>
    </w:p>
    <w:p w:rsidR="00E855E3" w:rsidRDefault="00E855E3" w:rsidP="00E855E3">
      <w:pPr>
        <w:spacing w:after="120"/>
      </w:pPr>
    </w:p>
    <w:p w:rsidR="00E855E3" w:rsidRDefault="00E855E3" w:rsidP="00E855E3">
      <w:pPr>
        <w:spacing w:after="120"/>
      </w:pPr>
    </w:p>
    <w:p w:rsidR="00E855E3" w:rsidRDefault="00E855E3" w:rsidP="00E855E3">
      <w:pPr>
        <w:rPr>
          <w:sz w:val="22"/>
          <w:szCs w:val="22"/>
        </w:rPr>
      </w:pPr>
      <w:r>
        <w:t>Todd Olinsky-Paul</w:t>
      </w:r>
    </w:p>
    <w:p w:rsidR="00E855E3" w:rsidRDefault="00E855E3" w:rsidP="00E855E3">
      <w:r>
        <w:t>Project Director</w:t>
      </w:r>
    </w:p>
    <w:p w:rsidR="00E855E3" w:rsidRDefault="00E855E3" w:rsidP="00E855E3">
      <w:r>
        <w:t>Clean Energy Group</w:t>
      </w:r>
    </w:p>
    <w:p w:rsidR="00E855E3" w:rsidRDefault="00E855E3" w:rsidP="00E855E3">
      <w:r>
        <w:t>Clean Energy States Alliance</w:t>
      </w:r>
    </w:p>
    <w:p w:rsidR="00E855E3" w:rsidRDefault="00E855E3" w:rsidP="00E855E3">
      <w:r>
        <w:t>50 State Street, Suite 1</w:t>
      </w:r>
    </w:p>
    <w:p w:rsidR="00E855E3" w:rsidRDefault="00E855E3" w:rsidP="00E855E3">
      <w:r>
        <w:t xml:space="preserve">Montpelier, VT  </w:t>
      </w:r>
    </w:p>
    <w:p w:rsidR="00E855E3" w:rsidRDefault="00E855E3" w:rsidP="00E855E3">
      <w:r>
        <w:t>Phone: 802-223-2554 x207</w:t>
      </w:r>
    </w:p>
    <w:p w:rsidR="00E855E3" w:rsidRDefault="00E855E3" w:rsidP="00E855E3"/>
    <w:p w:rsidR="00E855E3" w:rsidRDefault="00E855E3" w:rsidP="00E855E3">
      <w:r>
        <w:t xml:space="preserve">Websites: </w:t>
      </w:r>
      <w:hyperlink r:id="rId11" w:history="1">
        <w:r>
          <w:rPr>
            <w:rStyle w:val="Hyperlink"/>
          </w:rPr>
          <w:t>www.cleanegroup.org</w:t>
        </w:r>
      </w:hyperlink>
      <w:r>
        <w:t xml:space="preserve"> and </w:t>
      </w:r>
      <w:hyperlink r:id="rId12" w:history="1">
        <w:r>
          <w:rPr>
            <w:rStyle w:val="Hyperlink"/>
          </w:rPr>
          <w:t>www.cesa.org</w:t>
        </w:r>
      </w:hyperlink>
      <w:r>
        <w:t xml:space="preserve"> </w:t>
      </w:r>
    </w:p>
    <w:p w:rsidR="00E855E3" w:rsidRPr="00E855E3" w:rsidRDefault="00E855E3" w:rsidP="00E855E3">
      <w:pPr>
        <w:spacing w:after="120"/>
      </w:pPr>
    </w:p>
    <w:sectPr w:rsidR="00E855E3" w:rsidRPr="00E855E3">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584B" w:rsidRDefault="001F584B">
      <w:r>
        <w:separator/>
      </w:r>
    </w:p>
  </w:endnote>
  <w:endnote w:type="continuationSeparator" w:id="0">
    <w:p w:rsidR="001F584B" w:rsidRDefault="001F5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E3" w:rsidRDefault="00F146F5">
    <w:pPr>
      <w:pStyle w:val="Footer"/>
      <w:pBdr>
        <w:top w:val="single" w:sz="4" w:space="1" w:color="auto"/>
      </w:pBdr>
      <w:jc w:val="center"/>
      <w:rPr>
        <w:rFonts w:ascii="Arial" w:hAnsi="Arial"/>
        <w:color w:val="008000"/>
        <w:sz w:val="20"/>
      </w:rPr>
    </w:pPr>
    <w:r>
      <w:rPr>
        <w:rFonts w:ascii="Arial" w:hAnsi="Arial"/>
        <w:color w:val="008000"/>
        <w:sz w:val="20"/>
      </w:rPr>
      <w:t xml:space="preserve">Clean Energy States Alliance </w:t>
    </w:r>
    <w:r>
      <w:rPr>
        <w:rFonts w:ascii="Arial" w:hAnsi="Arial"/>
        <w:color w:val="008000"/>
        <w:sz w:val="20"/>
      </w:rPr>
      <w:sym w:font="Symbol" w:char="F0B7"/>
    </w:r>
    <w:r>
      <w:rPr>
        <w:rFonts w:ascii="Arial" w:hAnsi="Arial"/>
        <w:color w:val="008000"/>
        <w:sz w:val="20"/>
      </w:rPr>
      <w:t xml:space="preserve"> 50 State Street </w:t>
    </w:r>
    <w:r>
      <w:rPr>
        <w:rFonts w:ascii="Arial" w:hAnsi="Arial"/>
        <w:color w:val="008000"/>
        <w:sz w:val="20"/>
      </w:rPr>
      <w:sym w:font="Symbol" w:char="F0B7"/>
    </w:r>
    <w:r>
      <w:rPr>
        <w:rFonts w:ascii="Arial" w:hAnsi="Arial"/>
        <w:color w:val="008000"/>
        <w:sz w:val="20"/>
      </w:rPr>
      <w:t xml:space="preserve"> Montpelier, VT  05602</w:t>
    </w:r>
  </w:p>
  <w:p w:rsidR="005725E3" w:rsidRDefault="00F146F5">
    <w:pPr>
      <w:pStyle w:val="Footer"/>
      <w:jc w:val="center"/>
      <w:rPr>
        <w:rFonts w:ascii="Arial" w:hAnsi="Arial"/>
        <w:color w:val="008000"/>
        <w:sz w:val="20"/>
      </w:rPr>
    </w:pPr>
    <w:r>
      <w:rPr>
        <w:rFonts w:ascii="Arial" w:hAnsi="Arial"/>
        <w:color w:val="008000"/>
        <w:sz w:val="20"/>
      </w:rPr>
      <w:t xml:space="preserve">(802) 223-2554 </w:t>
    </w:r>
    <w:r>
      <w:rPr>
        <w:rFonts w:ascii="Arial" w:hAnsi="Arial"/>
        <w:color w:val="008000"/>
        <w:sz w:val="20"/>
      </w:rPr>
      <w:sym w:font="Symbol" w:char="F0B7"/>
    </w:r>
    <w:r>
      <w:rPr>
        <w:rFonts w:ascii="Arial" w:hAnsi="Arial"/>
        <w:color w:val="008000"/>
        <w:sz w:val="20"/>
      </w:rPr>
      <w:t xml:space="preserve"> fax (802) 223-4967</w:t>
    </w:r>
  </w:p>
  <w:p w:rsidR="005725E3" w:rsidRDefault="00F146F5">
    <w:pPr>
      <w:pStyle w:val="Footer"/>
      <w:jc w:val="center"/>
      <w:rPr>
        <w:rFonts w:ascii="Arial" w:hAnsi="Arial"/>
        <w:color w:val="008000"/>
        <w:sz w:val="20"/>
      </w:rPr>
    </w:pPr>
    <w:r>
      <w:rPr>
        <w:rFonts w:ascii="Arial" w:hAnsi="Arial"/>
        <w:color w:val="008000"/>
        <w:sz w:val="20"/>
      </w:rPr>
      <w:t xml:space="preserve">Email:  </w:t>
    </w:r>
    <w:hyperlink r:id="rId1" w:history="1">
      <w:r>
        <w:rPr>
          <w:rStyle w:val="Hyperlink"/>
          <w:rFonts w:ascii="Arial" w:hAnsi="Arial"/>
          <w:sz w:val="20"/>
        </w:rPr>
        <w:t>CESA@cleanegroup.org</w:t>
      </w:r>
    </w:hyperlink>
  </w:p>
  <w:p w:rsidR="005725E3" w:rsidRDefault="001F584B" w:rsidP="00432B9A">
    <w:pPr>
      <w:pStyle w:val="Footer"/>
      <w:jc w:val="center"/>
    </w:pPr>
    <w:hyperlink r:id="rId2" w:history="1">
      <w:r w:rsidR="00F146F5">
        <w:rPr>
          <w:rStyle w:val="Hyperlink"/>
          <w:rFonts w:ascii="Arial" w:hAnsi="Arial"/>
          <w:sz w:val="20"/>
        </w:rPr>
        <w:t>www.cleanenergystates.org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584B" w:rsidRDefault="001F584B">
      <w:r>
        <w:separator/>
      </w:r>
    </w:p>
  </w:footnote>
  <w:footnote w:type="continuationSeparator" w:id="0">
    <w:p w:rsidR="001F584B" w:rsidRDefault="001F584B">
      <w:r>
        <w:continuationSeparator/>
      </w:r>
    </w:p>
  </w:footnote>
  <w:footnote w:id="1">
    <w:p w:rsidR="00E855E3" w:rsidRDefault="00E855E3" w:rsidP="00E855E3">
      <w:pPr>
        <w:pStyle w:val="FootnoteText"/>
      </w:pPr>
      <w:r>
        <w:rPr>
          <w:rStyle w:val="FootnoteReference"/>
        </w:rPr>
        <w:footnoteRef/>
      </w:r>
      <w:r>
        <w:t xml:space="preserve"> </w:t>
      </w:r>
      <w:hyperlink r:id="rId1" w:history="1">
        <w:r w:rsidRPr="004E478B">
          <w:rPr>
            <w:rStyle w:val="Hyperlink"/>
          </w:rPr>
          <w:t>https://greenmountainpower.com/wp-content/uploads/2018/11/2018-09-12-Rebuttal-Testimony-of-Joshua-Castonguay.pdf</w:t>
        </w:r>
      </w:hyperlink>
      <w:r>
        <w:t xml:space="preserve"> </w:t>
      </w:r>
    </w:p>
  </w:footnote>
  <w:footnote w:id="2">
    <w:p w:rsidR="00E855E3" w:rsidRDefault="00E855E3" w:rsidP="00E855E3">
      <w:pPr>
        <w:pStyle w:val="FootnoteText"/>
      </w:pPr>
      <w:r>
        <w:rPr>
          <w:rStyle w:val="FootnoteReference"/>
        </w:rPr>
        <w:footnoteRef/>
      </w:r>
      <w:r>
        <w:t xml:space="preserve"> Alternately, on-peak discharge can be accomplished by direct utility control of BTM batteries, </w:t>
      </w:r>
      <w:proofErr w:type="gramStart"/>
      <w:r>
        <w:t>similar to</w:t>
      </w:r>
      <w:proofErr w:type="gramEnd"/>
      <w:r>
        <w:t xml:space="preserve"> utility programs that remotely control customer water heaters or HVAC equipment. However, we think a price signal will provide more customer flexibility.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5E3" w:rsidRDefault="00F146F5">
    <w:pPr>
      <w:pStyle w:val="Header"/>
    </w:pPr>
    <w:r>
      <w:rPr>
        <w:noProof/>
      </w:rPr>
      <w:drawing>
        <wp:inline distT="0" distB="0" distL="0" distR="0">
          <wp:extent cx="2975610" cy="726440"/>
          <wp:effectExtent l="19050" t="0" r="0" b="0"/>
          <wp:docPr id="1" name="Picture 1" descr="Clean Energy S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ean Energy SA logo"/>
                  <pic:cNvPicPr>
                    <a:picLocks noChangeAspect="1" noChangeArrowheads="1"/>
                  </pic:cNvPicPr>
                </pic:nvPicPr>
                <pic:blipFill>
                  <a:blip r:embed="rId1"/>
                  <a:srcRect/>
                  <a:stretch>
                    <a:fillRect/>
                  </a:stretch>
                </pic:blipFill>
                <pic:spPr bwMode="auto">
                  <a:xfrm>
                    <a:off x="0" y="0"/>
                    <a:ext cx="2975610" cy="726440"/>
                  </a:xfrm>
                  <a:prstGeom prst="rect">
                    <a:avLst/>
                  </a:prstGeom>
                  <a:noFill/>
                  <a:ln w="9525">
                    <a:noFill/>
                    <a:miter lim="800000"/>
                    <a:headEnd/>
                    <a:tailEnd/>
                  </a:ln>
                </pic:spPr>
              </pic:pic>
            </a:graphicData>
          </a:graphic>
        </wp:inline>
      </w:drawing>
    </w:r>
  </w:p>
  <w:p w:rsidR="00E855E3" w:rsidRDefault="00E855E3">
    <w:pPr>
      <w:pStyle w:val="Header"/>
    </w:pPr>
  </w:p>
  <w:p w:rsidR="00E855E3" w:rsidRDefault="00E85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E0905"/>
    <w:multiLevelType w:val="hybridMultilevel"/>
    <w:tmpl w:val="286297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7844E6"/>
    <w:multiLevelType w:val="hybridMultilevel"/>
    <w:tmpl w:val="E26AA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5E3"/>
    <w:rsid w:val="0009443C"/>
    <w:rsid w:val="001F584B"/>
    <w:rsid w:val="00432B9A"/>
    <w:rsid w:val="005725E3"/>
    <w:rsid w:val="00E855E3"/>
    <w:rsid w:val="00F14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3E98D"/>
  <w15:docId w15:val="{8242BF48-B72A-4CF2-BA3F-EE9DCB060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semiHidden/>
    <w:unhideWhenUsed/>
    <w:rsid w:val="00432B9A"/>
    <w:rPr>
      <w:rFonts w:ascii="Tahoma" w:hAnsi="Tahoma" w:cs="Tahoma"/>
      <w:sz w:val="16"/>
      <w:szCs w:val="16"/>
    </w:rPr>
  </w:style>
  <w:style w:type="character" w:customStyle="1" w:styleId="BalloonTextChar">
    <w:name w:val="Balloon Text Char"/>
    <w:basedOn w:val="DefaultParagraphFont"/>
    <w:link w:val="BalloonText"/>
    <w:uiPriority w:val="99"/>
    <w:semiHidden/>
    <w:rsid w:val="00432B9A"/>
    <w:rPr>
      <w:rFonts w:ascii="Tahoma" w:hAnsi="Tahoma" w:cs="Tahoma"/>
      <w:sz w:val="16"/>
      <w:szCs w:val="16"/>
    </w:rPr>
  </w:style>
  <w:style w:type="paragraph" w:styleId="ListParagraph">
    <w:name w:val="List Paragraph"/>
    <w:basedOn w:val="Normal"/>
    <w:uiPriority w:val="34"/>
    <w:qFormat/>
    <w:rsid w:val="00E855E3"/>
    <w:pPr>
      <w:spacing w:after="160" w:line="259"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E855E3"/>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855E3"/>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E855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61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esa.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leanegroup.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leanegroup.org/ceg-resources/resource/energy-storage-the-new-efficien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leanenergystates.org" TargetMode="External"/><Relationship Id="rId1" Type="http://schemas.openxmlformats.org/officeDocument/2006/relationships/hyperlink" Target="mailto:LMilford@cleanegroup.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greenmountainpower.com/wp-content/uploads/2018/11/2018-09-12-Rebuttal-Testimony-of-Joshua-Castonguay.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ject%20Director\AppData\Local\Packages\Microsoft.MicrosoftEdge_8wekyb3d8bbwe\TempState\Downloads\CESA%20Letterhead%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C2B25535A61740A59FC7674E78FDEE" ma:contentTypeVersion="7" ma:contentTypeDescription="Create a new document." ma:contentTypeScope="" ma:versionID="9f7ad77be146334ef8a5f06b28df1068">
  <xsd:schema xmlns:xsd="http://www.w3.org/2001/XMLSchema" xmlns:xs="http://www.w3.org/2001/XMLSchema" xmlns:p="http://schemas.microsoft.com/office/2006/metadata/properties" xmlns:ns2="d1ece133-c4a7-4985-b98f-18ad9ac452c3" xmlns:ns3="15043c85-0329-4a2b-8dd6-4f2edb90384c" targetNamespace="http://schemas.microsoft.com/office/2006/metadata/properties" ma:root="true" ma:fieldsID="9cf1e414235c9240f2216c717aaa9ace" ns2:_="" ns3:_="">
    <xsd:import namespace="d1ece133-c4a7-4985-b98f-18ad9ac452c3"/>
    <xsd:import namespace="15043c85-0329-4a2b-8dd6-4f2edb90384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ece133-c4a7-4985-b98f-18ad9ac452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043c85-0329-4a2b-8dd6-4f2edb90384c"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7E4FA6-4EEB-4B57-8070-05007E2E00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F737A-74B8-49ED-A279-F245CF3C1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ece133-c4a7-4985-b98f-18ad9ac452c3"/>
    <ds:schemaRef ds:uri="15043c85-0329-4a2b-8dd6-4f2edb9038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AE3182-E54E-40E7-A524-FD51D8C35A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CESA Letterhead (1)</Template>
  <TotalTime>11</TotalTime>
  <Pages>6</Pages>
  <Words>2121</Words>
  <Characters>12095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To:</vt:lpstr>
    </vt:vector>
  </TitlesOfParts>
  <Company>CEG</Company>
  <LinksUpToDate>false</LinksUpToDate>
  <CharactersWithSpaces>14188</CharactersWithSpaces>
  <SharedDoc>false</SharedDoc>
  <HLinks>
    <vt:vector size="18" baseType="variant">
      <vt:variant>
        <vt:i4>6094865</vt:i4>
      </vt:variant>
      <vt:variant>
        <vt:i4>3</vt:i4>
      </vt:variant>
      <vt:variant>
        <vt:i4>0</vt:i4>
      </vt:variant>
      <vt:variant>
        <vt:i4>5</vt:i4>
      </vt:variant>
      <vt:variant>
        <vt:lpwstr>http://www.cleanenergystates.org/</vt:lpwstr>
      </vt:variant>
      <vt:variant>
        <vt:lpwstr/>
      </vt:variant>
      <vt:variant>
        <vt:i4>63</vt:i4>
      </vt:variant>
      <vt:variant>
        <vt:i4>0</vt:i4>
      </vt:variant>
      <vt:variant>
        <vt:i4>0</vt:i4>
      </vt:variant>
      <vt:variant>
        <vt:i4>5</vt:i4>
      </vt:variant>
      <vt:variant>
        <vt:lpwstr>mailto:LMilford@cleanegroup.org</vt:lpwstr>
      </vt:variant>
      <vt:variant>
        <vt:lpwstr/>
      </vt:variant>
      <vt:variant>
        <vt:i4>1769541</vt:i4>
      </vt:variant>
      <vt:variant>
        <vt:i4>1069</vt:i4>
      </vt:variant>
      <vt:variant>
        <vt:i4>1025</vt:i4>
      </vt:variant>
      <vt:variant>
        <vt:i4>1</vt:i4>
      </vt:variant>
      <vt:variant>
        <vt:lpwstr>Clean Energy SA 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Project Director</dc:creator>
  <cp:lastModifiedBy>Todd Olinsky-Paul</cp:lastModifiedBy>
  <cp:revision>1</cp:revision>
  <cp:lastPrinted>2004-05-27T18:20:00Z</cp:lastPrinted>
  <dcterms:created xsi:type="dcterms:W3CDTF">2019-07-26T20:19:00Z</dcterms:created>
  <dcterms:modified xsi:type="dcterms:W3CDTF">2019-07-26T20:30:00Z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0x010100C2C2B25535A61740A59FC7674E78FDEE</vt:lpwstr>
  </property>
</Properties>
</file>