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0DF" w:rsidRPr="00860E40" w:rsidRDefault="00C70D08" w:rsidP="0054344D">
      <w:pPr>
        <w:rPr>
          <w:rFonts w:asciiTheme="majorHAnsi" w:hAnsiTheme="majorHAnsi" w:cs="Arial"/>
          <w:b/>
          <w:i/>
          <w:sz w:val="16"/>
          <w:szCs w:val="16"/>
        </w:rPr>
      </w:pPr>
      <w:r>
        <w:rPr>
          <w:rFonts w:ascii="Arial" w:hAnsi="Arial" w:cs="Arial"/>
          <w:b/>
        </w:rPr>
        <w:t>July 18</w:t>
      </w:r>
      <w:r w:rsidR="007D20DF">
        <w:rPr>
          <w:rFonts w:ascii="Arial" w:hAnsi="Arial" w:cs="Arial"/>
          <w:b/>
        </w:rPr>
        <w:t>, 201</w:t>
      </w:r>
      <w:r>
        <w:rPr>
          <w:rFonts w:ascii="Arial" w:hAnsi="Arial" w:cs="Arial"/>
          <w:b/>
        </w:rPr>
        <w:t>7</w:t>
      </w:r>
      <w:r w:rsidR="00EE541C">
        <w:rPr>
          <w:rFonts w:ascii="Arial" w:hAnsi="Arial" w:cs="Arial"/>
          <w:b/>
        </w:rPr>
        <w:t xml:space="preserve"> </w:t>
      </w:r>
    </w:p>
    <w:p w:rsidR="007D20DF" w:rsidRDefault="007D20DF" w:rsidP="0054344D">
      <w:pPr>
        <w:rPr>
          <w:rFonts w:ascii="Arial" w:hAnsi="Arial" w:cs="Arial"/>
          <w:b/>
        </w:rPr>
      </w:pPr>
    </w:p>
    <w:p w:rsidR="007D20DF" w:rsidRDefault="007D20DF" w:rsidP="0054344D">
      <w:pPr>
        <w:rPr>
          <w:rFonts w:ascii="Arial" w:hAnsi="Arial" w:cs="Arial"/>
          <w:b/>
        </w:rPr>
      </w:pPr>
    </w:p>
    <w:p w:rsidR="007D20DF" w:rsidRPr="003E1D86" w:rsidRDefault="007D20DF" w:rsidP="0054344D">
      <w:pPr>
        <w:jc w:val="center"/>
        <w:rPr>
          <w:rFonts w:ascii="Arial" w:hAnsi="Arial" w:cs="Arial"/>
          <w:b/>
        </w:rPr>
      </w:pPr>
      <w:r w:rsidRPr="003E1D86">
        <w:rPr>
          <w:rFonts w:ascii="Arial" w:hAnsi="Arial" w:cs="Arial"/>
          <w:b/>
        </w:rPr>
        <w:t>Comments of AARP</w:t>
      </w:r>
      <w:r w:rsidR="00D24A7D">
        <w:rPr>
          <w:rFonts w:ascii="Arial" w:hAnsi="Arial" w:cs="Arial"/>
          <w:b/>
        </w:rPr>
        <w:t xml:space="preserve"> in Case No. 17-3142-PET</w:t>
      </w:r>
    </w:p>
    <w:p w:rsidR="007D20DF" w:rsidRDefault="007D20DF" w:rsidP="0054344D">
      <w:pPr>
        <w:jc w:val="both"/>
        <w:rPr>
          <w:rFonts w:ascii="Arial" w:hAnsi="Arial" w:cs="Arial"/>
        </w:rPr>
      </w:pPr>
    </w:p>
    <w:p w:rsidR="007D20DF" w:rsidRDefault="00C70D08" w:rsidP="0054344D">
      <w:pPr>
        <w:pStyle w:val="ListParagraph"/>
        <w:numPr>
          <w:ilvl w:val="0"/>
          <w:numId w:val="1"/>
        </w:numPr>
        <w:spacing w:after="0"/>
        <w:ind w:hanging="720"/>
        <w:jc w:val="both"/>
        <w:rPr>
          <w:rFonts w:ascii="Arial" w:hAnsi="Arial" w:cs="Arial"/>
          <w:b/>
          <w:sz w:val="24"/>
          <w:szCs w:val="24"/>
        </w:rPr>
      </w:pPr>
      <w:r>
        <w:rPr>
          <w:rFonts w:ascii="Arial" w:hAnsi="Arial" w:cs="Arial"/>
          <w:b/>
          <w:sz w:val="24"/>
          <w:szCs w:val="24"/>
        </w:rPr>
        <w:t xml:space="preserve">Procedural History and </w:t>
      </w:r>
      <w:r w:rsidR="007D20DF" w:rsidRPr="006D0DE7">
        <w:rPr>
          <w:rFonts w:ascii="Arial" w:hAnsi="Arial" w:cs="Arial"/>
          <w:b/>
          <w:sz w:val="24"/>
          <w:szCs w:val="24"/>
        </w:rPr>
        <w:t>Introduction</w:t>
      </w:r>
    </w:p>
    <w:p w:rsidR="003F5E80" w:rsidRPr="006D0DE7" w:rsidRDefault="003F5E80" w:rsidP="003F5E80">
      <w:pPr>
        <w:pStyle w:val="ListParagraph"/>
        <w:spacing w:after="0"/>
        <w:jc w:val="both"/>
        <w:rPr>
          <w:rFonts w:ascii="Arial" w:hAnsi="Arial" w:cs="Arial"/>
          <w:b/>
          <w:sz w:val="24"/>
          <w:szCs w:val="24"/>
        </w:rPr>
      </w:pPr>
    </w:p>
    <w:p w:rsidR="00C70D08" w:rsidRDefault="00C70D08" w:rsidP="0054344D">
      <w:pPr>
        <w:spacing w:line="480" w:lineRule="auto"/>
        <w:ind w:firstLine="720"/>
        <w:jc w:val="both"/>
        <w:rPr>
          <w:rFonts w:ascii="Arial" w:hAnsi="Arial" w:cs="Arial"/>
        </w:rPr>
      </w:pPr>
      <w:r>
        <w:rPr>
          <w:rFonts w:ascii="Arial" w:hAnsi="Arial" w:cs="Arial"/>
        </w:rPr>
        <w:t>On April 10, 2017, the Department of Public Service (“DPS” or “the Department”) re</w:t>
      </w:r>
      <w:r w:rsidR="00B44BB0">
        <w:rPr>
          <w:rFonts w:ascii="Arial" w:hAnsi="Arial" w:cs="Arial"/>
        </w:rPr>
        <w:t xml:space="preserve">commended </w:t>
      </w:r>
      <w:r>
        <w:rPr>
          <w:rFonts w:ascii="Arial" w:hAnsi="Arial" w:cs="Arial"/>
        </w:rPr>
        <w:t xml:space="preserve">that the Public </w:t>
      </w:r>
      <w:r w:rsidR="00F76B2F">
        <w:rPr>
          <w:rFonts w:ascii="Arial" w:hAnsi="Arial" w:cs="Arial"/>
        </w:rPr>
        <w:t xml:space="preserve">Utility </w:t>
      </w:r>
      <w:r w:rsidR="00470B37">
        <w:rPr>
          <w:rFonts w:ascii="Arial" w:hAnsi="Arial" w:cs="Arial"/>
        </w:rPr>
        <w:t>Commission (</w:t>
      </w:r>
      <w:r>
        <w:rPr>
          <w:rFonts w:ascii="Arial" w:hAnsi="Arial" w:cs="Arial"/>
        </w:rPr>
        <w:t>“</w:t>
      </w:r>
      <w:r w:rsidR="00470B37">
        <w:rPr>
          <w:rFonts w:ascii="Arial" w:hAnsi="Arial" w:cs="Arial"/>
        </w:rPr>
        <w:t>Commission”</w:t>
      </w:r>
      <w:r>
        <w:rPr>
          <w:rFonts w:ascii="Arial" w:hAnsi="Arial" w:cs="Arial"/>
        </w:rPr>
        <w:t>) undertake a workshop process to broadly review emerging trends in the utility sector and to evaluate existing forms of regulation in light of these trends.</w:t>
      </w:r>
      <w:r w:rsidR="0078603E">
        <w:rPr>
          <w:rStyle w:val="FootnoteReference"/>
          <w:rFonts w:ascii="Arial" w:hAnsi="Arial" w:cs="Arial"/>
        </w:rPr>
        <w:footnoteReference w:id="1"/>
      </w:r>
      <w:r>
        <w:rPr>
          <w:rFonts w:ascii="Arial" w:hAnsi="Arial" w:cs="Arial"/>
        </w:rPr>
        <w:t xml:space="preserve">  Specifically, the Department cited a number of substantive changes that have occurred in Vermont, </w:t>
      </w:r>
      <w:r w:rsidR="00470B37">
        <w:rPr>
          <w:rFonts w:ascii="Arial" w:hAnsi="Arial" w:cs="Arial"/>
        </w:rPr>
        <w:t>affecting</w:t>
      </w:r>
      <w:r>
        <w:rPr>
          <w:rFonts w:ascii="Arial" w:hAnsi="Arial" w:cs="Arial"/>
        </w:rPr>
        <w:t xml:space="preserve"> the electric and natural gas utilities in the </w:t>
      </w:r>
      <w:r w:rsidR="001970AA">
        <w:rPr>
          <w:rFonts w:ascii="Arial" w:hAnsi="Arial" w:cs="Arial"/>
        </w:rPr>
        <w:t>s</w:t>
      </w:r>
      <w:r>
        <w:rPr>
          <w:rFonts w:ascii="Arial" w:hAnsi="Arial" w:cs="Arial"/>
        </w:rPr>
        <w:t>tate.  These changes included the following:</w:t>
      </w:r>
    </w:p>
    <w:p w:rsidR="00C70D08" w:rsidRPr="0078603E" w:rsidRDefault="00C70D08" w:rsidP="0054344D">
      <w:pPr>
        <w:pStyle w:val="ListParagraph"/>
        <w:numPr>
          <w:ilvl w:val="0"/>
          <w:numId w:val="2"/>
        </w:numPr>
        <w:spacing w:after="0" w:line="480" w:lineRule="auto"/>
        <w:ind w:left="720"/>
        <w:jc w:val="both"/>
        <w:rPr>
          <w:rFonts w:ascii="Arial" w:hAnsi="Arial" w:cs="Arial"/>
          <w:sz w:val="24"/>
        </w:rPr>
      </w:pPr>
      <w:r w:rsidRPr="0078603E">
        <w:rPr>
          <w:rFonts w:ascii="Arial" w:hAnsi="Arial" w:cs="Arial"/>
          <w:sz w:val="24"/>
        </w:rPr>
        <w:t xml:space="preserve">The enactment of various renewable energy development goals and requirements, through the </w:t>
      </w:r>
      <w:r w:rsidR="00F24AE7">
        <w:rPr>
          <w:rFonts w:ascii="Arial" w:hAnsi="Arial" w:cs="Arial"/>
          <w:sz w:val="24"/>
        </w:rPr>
        <w:t>r</w:t>
      </w:r>
      <w:r w:rsidRPr="0078603E">
        <w:rPr>
          <w:rFonts w:ascii="Arial" w:hAnsi="Arial" w:cs="Arial"/>
          <w:sz w:val="24"/>
        </w:rPr>
        <w:t xml:space="preserve">enewable </w:t>
      </w:r>
      <w:r w:rsidR="00F24AE7">
        <w:rPr>
          <w:rFonts w:ascii="Arial" w:hAnsi="Arial" w:cs="Arial"/>
          <w:sz w:val="24"/>
        </w:rPr>
        <w:t>e</w:t>
      </w:r>
      <w:r w:rsidRPr="0078603E">
        <w:rPr>
          <w:rFonts w:ascii="Arial" w:hAnsi="Arial" w:cs="Arial"/>
          <w:sz w:val="24"/>
        </w:rPr>
        <w:t xml:space="preserve">nergy </w:t>
      </w:r>
      <w:r w:rsidR="00F24AE7">
        <w:rPr>
          <w:rFonts w:ascii="Arial" w:hAnsi="Arial" w:cs="Arial"/>
          <w:sz w:val="24"/>
        </w:rPr>
        <w:t>s</w:t>
      </w:r>
      <w:r w:rsidRPr="0078603E">
        <w:rPr>
          <w:rFonts w:ascii="Arial" w:hAnsi="Arial" w:cs="Arial"/>
          <w:sz w:val="24"/>
        </w:rPr>
        <w:t xml:space="preserve">tandard (“RES”), </w:t>
      </w:r>
      <w:r w:rsidR="00F24AE7">
        <w:rPr>
          <w:rFonts w:ascii="Arial" w:hAnsi="Arial" w:cs="Arial"/>
          <w:sz w:val="24"/>
        </w:rPr>
        <w:t>n</w:t>
      </w:r>
      <w:r w:rsidRPr="0078603E">
        <w:rPr>
          <w:rFonts w:ascii="Arial" w:hAnsi="Arial" w:cs="Arial"/>
          <w:sz w:val="24"/>
        </w:rPr>
        <w:t xml:space="preserve">et </w:t>
      </w:r>
      <w:r w:rsidR="00F24AE7">
        <w:rPr>
          <w:rFonts w:ascii="Arial" w:hAnsi="Arial" w:cs="Arial"/>
          <w:sz w:val="24"/>
        </w:rPr>
        <w:t>m</w:t>
      </w:r>
      <w:r w:rsidRPr="0078603E">
        <w:rPr>
          <w:rFonts w:ascii="Arial" w:hAnsi="Arial" w:cs="Arial"/>
          <w:sz w:val="24"/>
        </w:rPr>
        <w:t xml:space="preserve">etering </w:t>
      </w:r>
      <w:r w:rsidR="00F24AE7">
        <w:rPr>
          <w:rFonts w:ascii="Arial" w:hAnsi="Arial" w:cs="Arial"/>
          <w:sz w:val="24"/>
        </w:rPr>
        <w:t>p</w:t>
      </w:r>
      <w:r w:rsidRPr="0078603E">
        <w:rPr>
          <w:rFonts w:ascii="Arial" w:hAnsi="Arial" w:cs="Arial"/>
          <w:sz w:val="24"/>
        </w:rPr>
        <w:t xml:space="preserve">rogram, and </w:t>
      </w:r>
      <w:r w:rsidR="00F24AE7">
        <w:rPr>
          <w:rFonts w:ascii="Arial" w:hAnsi="Arial" w:cs="Arial"/>
          <w:sz w:val="24"/>
        </w:rPr>
        <w:t>s</w:t>
      </w:r>
      <w:r w:rsidRPr="0078603E">
        <w:rPr>
          <w:rFonts w:ascii="Arial" w:hAnsi="Arial" w:cs="Arial"/>
          <w:sz w:val="24"/>
        </w:rPr>
        <w:t xml:space="preserve">tandard </w:t>
      </w:r>
      <w:r w:rsidR="00F24AE7">
        <w:rPr>
          <w:rFonts w:ascii="Arial" w:hAnsi="Arial" w:cs="Arial"/>
          <w:sz w:val="24"/>
        </w:rPr>
        <w:t>o</w:t>
      </w:r>
      <w:r w:rsidRPr="0078603E">
        <w:rPr>
          <w:rFonts w:ascii="Arial" w:hAnsi="Arial" w:cs="Arial"/>
          <w:sz w:val="24"/>
        </w:rPr>
        <w:t xml:space="preserve">ffer </w:t>
      </w:r>
      <w:r w:rsidR="00F24AE7">
        <w:rPr>
          <w:rFonts w:ascii="Arial" w:hAnsi="Arial" w:cs="Arial"/>
          <w:sz w:val="24"/>
        </w:rPr>
        <w:t>p</w:t>
      </w:r>
      <w:r w:rsidRPr="0078603E">
        <w:rPr>
          <w:rFonts w:ascii="Arial" w:hAnsi="Arial" w:cs="Arial"/>
          <w:sz w:val="24"/>
        </w:rPr>
        <w:t>rogram;</w:t>
      </w:r>
    </w:p>
    <w:p w:rsidR="00C70D08" w:rsidRPr="0078603E" w:rsidRDefault="00C70D08" w:rsidP="0054344D">
      <w:pPr>
        <w:pStyle w:val="ListParagraph"/>
        <w:numPr>
          <w:ilvl w:val="0"/>
          <w:numId w:val="2"/>
        </w:numPr>
        <w:spacing w:after="0" w:line="480" w:lineRule="auto"/>
        <w:ind w:left="720"/>
        <w:jc w:val="both"/>
        <w:rPr>
          <w:rFonts w:ascii="Arial" w:hAnsi="Arial" w:cs="Arial"/>
          <w:sz w:val="24"/>
        </w:rPr>
      </w:pPr>
      <w:r w:rsidRPr="0078603E">
        <w:rPr>
          <w:rFonts w:ascii="Arial" w:hAnsi="Arial" w:cs="Arial"/>
          <w:sz w:val="24"/>
        </w:rPr>
        <w:t>Shifts in enabling technologies, including the deployment of advanced metering infrastructure and the emergence of electric vehicles, battery storage, and heat pumps;</w:t>
      </w:r>
    </w:p>
    <w:p w:rsidR="00C70D08" w:rsidRPr="0078603E" w:rsidRDefault="00C70D08" w:rsidP="0054344D">
      <w:pPr>
        <w:pStyle w:val="ListParagraph"/>
        <w:numPr>
          <w:ilvl w:val="0"/>
          <w:numId w:val="2"/>
        </w:numPr>
        <w:spacing w:after="0" w:line="480" w:lineRule="auto"/>
        <w:ind w:left="720"/>
        <w:jc w:val="both"/>
        <w:rPr>
          <w:rFonts w:ascii="Arial" w:hAnsi="Arial" w:cs="Arial"/>
          <w:sz w:val="24"/>
        </w:rPr>
      </w:pPr>
      <w:r w:rsidRPr="0078603E">
        <w:rPr>
          <w:rFonts w:ascii="Arial" w:hAnsi="Arial" w:cs="Arial"/>
          <w:sz w:val="24"/>
        </w:rPr>
        <w:t>A more dynamic energy environment in which end users and third-party aggregators have greater ability to manage loads in real time;</w:t>
      </w:r>
    </w:p>
    <w:p w:rsidR="00C70D08" w:rsidRPr="0078603E" w:rsidRDefault="00C70D08" w:rsidP="0054344D">
      <w:pPr>
        <w:pStyle w:val="ListParagraph"/>
        <w:numPr>
          <w:ilvl w:val="0"/>
          <w:numId w:val="2"/>
        </w:numPr>
        <w:spacing w:after="0" w:line="480" w:lineRule="auto"/>
        <w:ind w:left="720"/>
        <w:jc w:val="both"/>
        <w:rPr>
          <w:rFonts w:ascii="Arial" w:hAnsi="Arial" w:cs="Arial"/>
          <w:sz w:val="24"/>
        </w:rPr>
      </w:pPr>
      <w:r w:rsidRPr="0078603E">
        <w:rPr>
          <w:rFonts w:ascii="Arial" w:hAnsi="Arial" w:cs="Arial"/>
          <w:sz w:val="24"/>
        </w:rPr>
        <w:t>The merger of the state’s two largest electric utilities; and</w:t>
      </w:r>
    </w:p>
    <w:p w:rsidR="00C70D08" w:rsidRPr="0078603E" w:rsidRDefault="00C70D08" w:rsidP="0054344D">
      <w:pPr>
        <w:pStyle w:val="ListParagraph"/>
        <w:numPr>
          <w:ilvl w:val="0"/>
          <w:numId w:val="2"/>
        </w:numPr>
        <w:spacing w:after="0" w:line="480" w:lineRule="auto"/>
        <w:ind w:left="720"/>
        <w:jc w:val="both"/>
        <w:rPr>
          <w:rFonts w:ascii="Arial" w:hAnsi="Arial" w:cs="Arial"/>
          <w:sz w:val="24"/>
        </w:rPr>
      </w:pPr>
      <w:r w:rsidRPr="0078603E">
        <w:rPr>
          <w:rFonts w:ascii="Arial" w:hAnsi="Arial" w:cs="Arial"/>
          <w:sz w:val="24"/>
        </w:rPr>
        <w:lastRenderedPageBreak/>
        <w:t>The expansion of the state’s only natural gas utility to a new part of the state, as well as its designation as an energy efficiency utility.</w:t>
      </w:r>
      <w:r w:rsidR="0078603E">
        <w:rPr>
          <w:rStyle w:val="FootnoteReference"/>
          <w:rFonts w:ascii="Arial" w:hAnsi="Arial" w:cs="Arial"/>
          <w:sz w:val="24"/>
        </w:rPr>
        <w:footnoteReference w:id="2"/>
      </w:r>
    </w:p>
    <w:p w:rsidR="00C70D08" w:rsidRDefault="00C70D08" w:rsidP="0054344D">
      <w:pPr>
        <w:spacing w:line="480" w:lineRule="auto"/>
        <w:ind w:firstLine="720"/>
        <w:jc w:val="both"/>
        <w:rPr>
          <w:rFonts w:ascii="Arial" w:hAnsi="Arial" w:cs="Arial"/>
        </w:rPr>
      </w:pPr>
      <w:r>
        <w:rPr>
          <w:rFonts w:ascii="Arial" w:hAnsi="Arial" w:cs="Arial"/>
        </w:rPr>
        <w:t xml:space="preserve">In light of these changes, the Department requested that the </w:t>
      </w:r>
      <w:r w:rsidR="00F76B2F">
        <w:rPr>
          <w:rFonts w:ascii="Arial" w:hAnsi="Arial" w:cs="Arial"/>
        </w:rPr>
        <w:t>Commission</w:t>
      </w:r>
      <w:r>
        <w:rPr>
          <w:rFonts w:ascii="Arial" w:hAnsi="Arial" w:cs="Arial"/>
        </w:rPr>
        <w:t xml:space="preserve"> establish one or more workshops for the purpose of reexamining the manner in which utilities are regulated in Vermont.</w:t>
      </w:r>
      <w:r w:rsidR="0078603E">
        <w:rPr>
          <w:rStyle w:val="FootnoteReference"/>
          <w:rFonts w:ascii="Arial" w:hAnsi="Arial" w:cs="Arial"/>
        </w:rPr>
        <w:footnoteReference w:id="3"/>
      </w:r>
      <w:r>
        <w:rPr>
          <w:rFonts w:ascii="Arial" w:hAnsi="Arial" w:cs="Arial"/>
        </w:rPr>
        <w:t xml:space="preserve">  Prior to the scheduling of the first workshop, the Department recommended that the </w:t>
      </w:r>
      <w:r w:rsidR="00F76B2F">
        <w:rPr>
          <w:rFonts w:ascii="Arial" w:hAnsi="Arial" w:cs="Arial"/>
        </w:rPr>
        <w:t>Commission</w:t>
      </w:r>
      <w:r>
        <w:rPr>
          <w:rFonts w:ascii="Arial" w:hAnsi="Arial" w:cs="Arial"/>
        </w:rPr>
        <w:t xml:space="preserve"> solicit comments from interest parties on potential topics to be covered during the wide-ranging workshop or workshops.</w:t>
      </w:r>
      <w:r w:rsidR="0078603E">
        <w:rPr>
          <w:rStyle w:val="FootnoteReference"/>
          <w:rFonts w:ascii="Arial" w:hAnsi="Arial" w:cs="Arial"/>
        </w:rPr>
        <w:footnoteReference w:id="4"/>
      </w:r>
      <w:r>
        <w:rPr>
          <w:rFonts w:ascii="Arial" w:hAnsi="Arial" w:cs="Arial"/>
        </w:rPr>
        <w:t xml:space="preserve">  The Department itself proposed the following three items for discussion:</w:t>
      </w:r>
    </w:p>
    <w:p w:rsidR="00C70D08" w:rsidRPr="0078603E" w:rsidRDefault="00C70D08" w:rsidP="00B44BB0">
      <w:pPr>
        <w:pStyle w:val="ListParagraph"/>
        <w:numPr>
          <w:ilvl w:val="0"/>
          <w:numId w:val="4"/>
        </w:numPr>
        <w:spacing w:after="0" w:line="480" w:lineRule="auto"/>
        <w:jc w:val="both"/>
        <w:rPr>
          <w:rFonts w:ascii="Arial" w:hAnsi="Arial" w:cs="Arial"/>
          <w:sz w:val="24"/>
        </w:rPr>
      </w:pPr>
      <w:r w:rsidRPr="0078603E">
        <w:rPr>
          <w:rFonts w:ascii="Arial" w:hAnsi="Arial" w:cs="Arial"/>
          <w:sz w:val="24"/>
        </w:rPr>
        <w:t>Review of regulatory practices and performance in Vermont as well as in other jurisdictions;</w:t>
      </w:r>
    </w:p>
    <w:p w:rsidR="00C70D08" w:rsidRPr="0078603E" w:rsidRDefault="00C70D08" w:rsidP="00B44BB0">
      <w:pPr>
        <w:pStyle w:val="ListParagraph"/>
        <w:numPr>
          <w:ilvl w:val="0"/>
          <w:numId w:val="4"/>
        </w:numPr>
        <w:spacing w:after="0" w:line="480" w:lineRule="auto"/>
        <w:jc w:val="both"/>
        <w:rPr>
          <w:rFonts w:ascii="Arial" w:hAnsi="Arial" w:cs="Arial"/>
          <w:sz w:val="24"/>
        </w:rPr>
      </w:pPr>
      <w:r w:rsidRPr="0078603E">
        <w:rPr>
          <w:rFonts w:ascii="Arial" w:hAnsi="Arial" w:cs="Arial"/>
          <w:sz w:val="24"/>
        </w:rPr>
        <w:t xml:space="preserve">Identification of emerging industry trends and opportunities; and </w:t>
      </w:r>
    </w:p>
    <w:p w:rsidR="00C70D08" w:rsidRPr="0078603E" w:rsidRDefault="0054344D" w:rsidP="00B44BB0">
      <w:pPr>
        <w:pStyle w:val="ListParagraph"/>
        <w:numPr>
          <w:ilvl w:val="0"/>
          <w:numId w:val="4"/>
        </w:numPr>
        <w:spacing w:after="0" w:line="480" w:lineRule="auto"/>
        <w:jc w:val="both"/>
        <w:rPr>
          <w:rFonts w:ascii="Arial" w:hAnsi="Arial" w:cs="Arial"/>
          <w:sz w:val="24"/>
        </w:rPr>
      </w:pPr>
      <w:r w:rsidRPr="0078603E">
        <w:rPr>
          <w:rFonts w:ascii="Arial" w:hAnsi="Arial" w:cs="Arial"/>
          <w:sz w:val="24"/>
        </w:rPr>
        <w:t>Discussion of regulatory goals, how they can be articulated and measured, and how they overlap with existing statutory criteria.</w:t>
      </w:r>
      <w:r w:rsidR="0078603E">
        <w:rPr>
          <w:rStyle w:val="FootnoteReference"/>
          <w:rFonts w:ascii="Arial" w:hAnsi="Arial" w:cs="Arial"/>
          <w:sz w:val="24"/>
        </w:rPr>
        <w:footnoteReference w:id="5"/>
      </w:r>
    </w:p>
    <w:p w:rsidR="00C70D08" w:rsidRDefault="0054344D" w:rsidP="0054344D">
      <w:pPr>
        <w:spacing w:line="480" w:lineRule="auto"/>
        <w:ind w:firstLine="720"/>
        <w:jc w:val="both"/>
        <w:rPr>
          <w:rFonts w:ascii="Arial" w:hAnsi="Arial" w:cs="Arial"/>
        </w:rPr>
      </w:pPr>
      <w:r>
        <w:rPr>
          <w:rFonts w:ascii="Arial" w:hAnsi="Arial" w:cs="Arial"/>
        </w:rPr>
        <w:t xml:space="preserve">On June 26, 2017, the </w:t>
      </w:r>
      <w:r w:rsidR="00F76B2F">
        <w:rPr>
          <w:rFonts w:ascii="Arial" w:hAnsi="Arial" w:cs="Arial"/>
        </w:rPr>
        <w:t>Commission</w:t>
      </w:r>
      <w:r>
        <w:rPr>
          <w:rFonts w:ascii="Arial" w:hAnsi="Arial" w:cs="Arial"/>
        </w:rPr>
        <w:t xml:space="preserve"> issued an Order in the current Case, opening an investigation and establishing a workshop process.</w:t>
      </w:r>
      <w:r w:rsidR="00726413">
        <w:rPr>
          <w:rStyle w:val="FootnoteReference"/>
          <w:rFonts w:ascii="Arial" w:hAnsi="Arial" w:cs="Arial"/>
        </w:rPr>
        <w:footnoteReference w:id="6"/>
      </w:r>
      <w:r w:rsidR="00B44BB0">
        <w:rPr>
          <w:rFonts w:ascii="Arial" w:hAnsi="Arial" w:cs="Arial"/>
        </w:rPr>
        <w:t xml:space="preserve">  The </w:t>
      </w:r>
      <w:r w:rsidR="00F76B2F">
        <w:rPr>
          <w:rFonts w:ascii="Arial" w:hAnsi="Arial" w:cs="Arial"/>
        </w:rPr>
        <w:t>Commission</w:t>
      </w:r>
      <w:r w:rsidR="00B44BB0">
        <w:rPr>
          <w:rFonts w:ascii="Arial" w:hAnsi="Arial" w:cs="Arial"/>
        </w:rPr>
        <w:t xml:space="preserve">’s Order </w:t>
      </w:r>
      <w:r>
        <w:rPr>
          <w:rFonts w:ascii="Arial" w:hAnsi="Arial" w:cs="Arial"/>
        </w:rPr>
        <w:t>noted that the State’s electric and natural gas sectors have, and are still undergoing, significant changes.</w:t>
      </w:r>
      <w:r w:rsidR="00726413">
        <w:rPr>
          <w:rStyle w:val="FootnoteReference"/>
          <w:rFonts w:ascii="Arial" w:hAnsi="Arial" w:cs="Arial"/>
        </w:rPr>
        <w:footnoteReference w:id="7"/>
      </w:r>
      <w:r>
        <w:rPr>
          <w:rFonts w:ascii="Arial" w:hAnsi="Arial" w:cs="Arial"/>
        </w:rPr>
        <w:t xml:space="preserve">  The </w:t>
      </w:r>
      <w:r w:rsidR="00F76B2F">
        <w:rPr>
          <w:rFonts w:ascii="Arial" w:hAnsi="Arial" w:cs="Arial"/>
        </w:rPr>
        <w:t>Commission</w:t>
      </w:r>
      <w:r>
        <w:rPr>
          <w:rFonts w:ascii="Arial" w:hAnsi="Arial" w:cs="Arial"/>
        </w:rPr>
        <w:t xml:space="preserve"> noted that recent </w:t>
      </w:r>
      <w:r w:rsidR="00EE541C">
        <w:rPr>
          <w:rFonts w:ascii="Arial" w:hAnsi="Arial" w:cs="Arial"/>
        </w:rPr>
        <w:t>s</w:t>
      </w:r>
      <w:r>
        <w:rPr>
          <w:rFonts w:ascii="Arial" w:hAnsi="Arial" w:cs="Arial"/>
        </w:rPr>
        <w:t xml:space="preserve">tate policies have imposed obligations for the deployment of renewable energy, resulting in a large number of such energy projects being developed in the State.  Further implementation of these policies, </w:t>
      </w:r>
      <w:r>
        <w:rPr>
          <w:rFonts w:ascii="Arial" w:hAnsi="Arial" w:cs="Arial"/>
        </w:rPr>
        <w:lastRenderedPageBreak/>
        <w:t xml:space="preserve">the </w:t>
      </w:r>
      <w:r w:rsidR="00F76B2F">
        <w:rPr>
          <w:rFonts w:ascii="Arial" w:hAnsi="Arial" w:cs="Arial"/>
        </w:rPr>
        <w:t>Commission</w:t>
      </w:r>
      <w:r>
        <w:rPr>
          <w:rFonts w:ascii="Arial" w:hAnsi="Arial" w:cs="Arial"/>
        </w:rPr>
        <w:t xml:space="preserve"> stated, will require further development of renewable facilities and the integration of these intermittent resources into the power system.</w:t>
      </w:r>
      <w:r w:rsidR="00726413">
        <w:rPr>
          <w:rStyle w:val="FootnoteReference"/>
          <w:rFonts w:ascii="Arial" w:hAnsi="Arial" w:cs="Arial"/>
        </w:rPr>
        <w:footnoteReference w:id="8"/>
      </w:r>
    </w:p>
    <w:p w:rsidR="00E5649A" w:rsidRDefault="0054344D" w:rsidP="0054344D">
      <w:pPr>
        <w:spacing w:line="480" w:lineRule="auto"/>
        <w:ind w:firstLine="720"/>
        <w:jc w:val="both"/>
        <w:rPr>
          <w:rFonts w:ascii="Arial" w:hAnsi="Arial" w:cs="Arial"/>
        </w:rPr>
      </w:pPr>
      <w:r>
        <w:rPr>
          <w:rFonts w:ascii="Arial" w:hAnsi="Arial" w:cs="Arial"/>
        </w:rPr>
        <w:t xml:space="preserve">The </w:t>
      </w:r>
      <w:r w:rsidR="00F76B2F">
        <w:rPr>
          <w:rFonts w:ascii="Arial" w:hAnsi="Arial" w:cs="Arial"/>
        </w:rPr>
        <w:t>Commission</w:t>
      </w:r>
      <w:r>
        <w:rPr>
          <w:rFonts w:ascii="Arial" w:hAnsi="Arial" w:cs="Arial"/>
        </w:rPr>
        <w:t xml:space="preserve"> also noted technological changes offering new opportunities and challenges to the </w:t>
      </w:r>
      <w:r w:rsidR="00F24AE7">
        <w:rPr>
          <w:rFonts w:ascii="Arial" w:hAnsi="Arial" w:cs="Arial"/>
        </w:rPr>
        <w:t>s</w:t>
      </w:r>
      <w:r>
        <w:rPr>
          <w:rFonts w:ascii="Arial" w:hAnsi="Arial" w:cs="Arial"/>
        </w:rPr>
        <w:t xml:space="preserve">tate.  Specifically, the </w:t>
      </w:r>
      <w:r w:rsidR="00F76B2F">
        <w:rPr>
          <w:rFonts w:ascii="Arial" w:hAnsi="Arial" w:cs="Arial"/>
        </w:rPr>
        <w:t>Commission</w:t>
      </w:r>
      <w:r>
        <w:rPr>
          <w:rFonts w:ascii="Arial" w:hAnsi="Arial" w:cs="Arial"/>
        </w:rPr>
        <w:t xml:space="preserve"> noted the potential opportunities for further electrical development in the State resulting from increased use of electric vehicles, heat pumps, and the further development of battery storage opportunities.</w:t>
      </w:r>
      <w:r w:rsidR="00726413">
        <w:rPr>
          <w:rStyle w:val="FootnoteReference"/>
          <w:rFonts w:ascii="Arial" w:hAnsi="Arial" w:cs="Arial"/>
        </w:rPr>
        <w:footnoteReference w:id="9"/>
      </w:r>
      <w:r>
        <w:rPr>
          <w:rFonts w:ascii="Arial" w:hAnsi="Arial" w:cs="Arial"/>
        </w:rPr>
        <w:t xml:space="preserve">  The </w:t>
      </w:r>
      <w:r w:rsidR="00F76B2F">
        <w:rPr>
          <w:rFonts w:ascii="Arial" w:hAnsi="Arial" w:cs="Arial"/>
        </w:rPr>
        <w:t>Commission</w:t>
      </w:r>
      <w:r>
        <w:rPr>
          <w:rFonts w:ascii="Arial" w:hAnsi="Arial" w:cs="Arial"/>
        </w:rPr>
        <w:t xml:space="preserve"> noted that the </w:t>
      </w:r>
      <w:r w:rsidR="00EE541C">
        <w:rPr>
          <w:rFonts w:ascii="Arial" w:hAnsi="Arial" w:cs="Arial"/>
        </w:rPr>
        <w:t>s</w:t>
      </w:r>
      <w:r>
        <w:rPr>
          <w:rFonts w:ascii="Arial" w:hAnsi="Arial" w:cs="Arial"/>
        </w:rPr>
        <w:t xml:space="preserve">tate’s Renewable Energy Standard (“RES”) requires State utilities to engage in “energy transformation projects,” that will likely encourage the development of such electrification projects.  Likewise, increased electrification opportunities would potentially affect natural gas service in the State, by </w:t>
      </w:r>
      <w:r w:rsidR="00E5649A">
        <w:rPr>
          <w:rFonts w:ascii="Arial" w:hAnsi="Arial" w:cs="Arial"/>
        </w:rPr>
        <w:t xml:space="preserve">providing further alternatives to natural gas heating that may be cost-effective </w:t>
      </w:r>
      <w:r w:rsidR="00101EC2">
        <w:rPr>
          <w:rFonts w:ascii="Arial" w:hAnsi="Arial" w:cs="Arial"/>
        </w:rPr>
        <w:t>for consumers</w:t>
      </w:r>
      <w:r w:rsidR="00E5649A">
        <w:rPr>
          <w:rFonts w:ascii="Arial" w:hAnsi="Arial" w:cs="Arial"/>
        </w:rPr>
        <w:t>.</w:t>
      </w:r>
      <w:r w:rsidR="00726413">
        <w:rPr>
          <w:rStyle w:val="FootnoteReference"/>
          <w:rFonts w:ascii="Arial" w:hAnsi="Arial" w:cs="Arial"/>
        </w:rPr>
        <w:footnoteReference w:id="10"/>
      </w:r>
    </w:p>
    <w:p w:rsidR="0054344D" w:rsidRDefault="00E5649A" w:rsidP="0054344D">
      <w:pPr>
        <w:spacing w:line="480" w:lineRule="auto"/>
        <w:ind w:firstLine="720"/>
        <w:jc w:val="both"/>
        <w:rPr>
          <w:rFonts w:ascii="Arial" w:hAnsi="Arial" w:cs="Arial"/>
        </w:rPr>
      </w:pPr>
      <w:r>
        <w:rPr>
          <w:rFonts w:ascii="Arial" w:hAnsi="Arial" w:cs="Arial"/>
        </w:rPr>
        <w:t xml:space="preserve"> </w:t>
      </w:r>
      <w:r w:rsidR="00101EC2">
        <w:rPr>
          <w:rFonts w:ascii="Arial" w:hAnsi="Arial" w:cs="Arial"/>
        </w:rPr>
        <w:t xml:space="preserve">The </w:t>
      </w:r>
      <w:r w:rsidR="00F76B2F">
        <w:rPr>
          <w:rFonts w:ascii="Arial" w:hAnsi="Arial" w:cs="Arial"/>
        </w:rPr>
        <w:t>Commission</w:t>
      </w:r>
      <w:r w:rsidR="00101EC2">
        <w:rPr>
          <w:rFonts w:ascii="Arial" w:hAnsi="Arial" w:cs="Arial"/>
        </w:rPr>
        <w:t xml:space="preserve"> stated that the </w:t>
      </w:r>
      <w:r w:rsidR="00EE541C">
        <w:rPr>
          <w:rFonts w:ascii="Arial" w:hAnsi="Arial" w:cs="Arial"/>
        </w:rPr>
        <w:t>s</w:t>
      </w:r>
      <w:r w:rsidR="00101EC2">
        <w:rPr>
          <w:rFonts w:ascii="Arial" w:hAnsi="Arial" w:cs="Arial"/>
        </w:rPr>
        <w:t>tate’s current regulatory structure was developed prior to the advent of these changes.</w:t>
      </w:r>
      <w:r w:rsidR="00726413">
        <w:rPr>
          <w:rStyle w:val="FootnoteReference"/>
          <w:rFonts w:ascii="Arial" w:hAnsi="Arial" w:cs="Arial"/>
        </w:rPr>
        <w:footnoteReference w:id="11"/>
      </w:r>
      <w:r w:rsidR="00101EC2">
        <w:rPr>
          <w:rFonts w:ascii="Arial" w:hAnsi="Arial" w:cs="Arial"/>
        </w:rPr>
        <w:t xml:space="preserve">  For the past decade, Vermont’s largest electric and gas utilities have been operating under alternative regulation plans, plans that were designed to provide companies more certainty by allowing the flow-through of power costs to customers in order to provide recovery of expenses in a </w:t>
      </w:r>
      <w:r w:rsidR="00726413">
        <w:rPr>
          <w:rFonts w:ascii="Arial" w:hAnsi="Arial" w:cs="Arial"/>
        </w:rPr>
        <w:t>timelier</w:t>
      </w:r>
      <w:r w:rsidR="00101EC2">
        <w:rPr>
          <w:rFonts w:ascii="Arial" w:hAnsi="Arial" w:cs="Arial"/>
        </w:rPr>
        <w:t xml:space="preserve"> manner without the need for litigated rate cases.</w:t>
      </w:r>
      <w:r w:rsidR="00726413">
        <w:rPr>
          <w:rStyle w:val="FootnoteReference"/>
          <w:rFonts w:ascii="Arial" w:hAnsi="Arial" w:cs="Arial"/>
        </w:rPr>
        <w:footnoteReference w:id="12"/>
      </w:r>
      <w:r w:rsidR="00101EC2">
        <w:rPr>
          <w:rFonts w:ascii="Arial" w:hAnsi="Arial" w:cs="Arial"/>
        </w:rPr>
        <w:t xml:space="preserve">  However, the </w:t>
      </w:r>
      <w:r w:rsidR="00F76B2F">
        <w:rPr>
          <w:rFonts w:ascii="Arial" w:hAnsi="Arial" w:cs="Arial"/>
        </w:rPr>
        <w:t>Commission</w:t>
      </w:r>
      <w:r w:rsidR="00101EC2">
        <w:rPr>
          <w:rFonts w:ascii="Arial" w:hAnsi="Arial" w:cs="Arial"/>
        </w:rPr>
        <w:t xml:space="preserve"> noted that it has not comprehensively examined the effectiveness of these alternative regulation mechanisms.</w:t>
      </w:r>
      <w:r w:rsidR="00726413">
        <w:rPr>
          <w:rStyle w:val="FootnoteReference"/>
          <w:rFonts w:ascii="Arial" w:hAnsi="Arial" w:cs="Arial"/>
        </w:rPr>
        <w:footnoteReference w:id="13"/>
      </w:r>
      <w:r w:rsidR="00101EC2">
        <w:rPr>
          <w:rFonts w:ascii="Arial" w:hAnsi="Arial" w:cs="Arial"/>
        </w:rPr>
        <w:t xml:space="preserve">  With the expiration of the alternative regulation plans for </w:t>
      </w:r>
      <w:r w:rsidR="00101EC2">
        <w:rPr>
          <w:rFonts w:ascii="Arial" w:hAnsi="Arial" w:cs="Arial"/>
        </w:rPr>
        <w:lastRenderedPageBreak/>
        <w:t xml:space="preserve">Green Mountain Power Corporation (“GMP”) and Vermont Gas Systems, Inc. (“VGS”), the </w:t>
      </w:r>
      <w:r w:rsidR="00F76B2F">
        <w:rPr>
          <w:rFonts w:ascii="Arial" w:hAnsi="Arial" w:cs="Arial"/>
        </w:rPr>
        <w:t>Commission</w:t>
      </w:r>
      <w:r w:rsidR="00101EC2">
        <w:rPr>
          <w:rFonts w:ascii="Arial" w:hAnsi="Arial" w:cs="Arial"/>
        </w:rPr>
        <w:t xml:space="preserve"> stated that it was an appropriate time for the </w:t>
      </w:r>
      <w:r w:rsidR="00F76B2F">
        <w:rPr>
          <w:rFonts w:ascii="Arial" w:hAnsi="Arial" w:cs="Arial"/>
        </w:rPr>
        <w:t>Commission</w:t>
      </w:r>
      <w:r w:rsidR="00101EC2">
        <w:rPr>
          <w:rFonts w:ascii="Arial" w:hAnsi="Arial" w:cs="Arial"/>
        </w:rPr>
        <w:t xml:space="preserve"> to take a broader look at the regulatory structure in Vermont.</w:t>
      </w:r>
      <w:r w:rsidR="00726413">
        <w:rPr>
          <w:rStyle w:val="FootnoteReference"/>
          <w:rFonts w:ascii="Arial" w:hAnsi="Arial" w:cs="Arial"/>
        </w:rPr>
        <w:footnoteReference w:id="14"/>
      </w:r>
    </w:p>
    <w:p w:rsidR="0054344D" w:rsidRDefault="00101EC2" w:rsidP="0054344D">
      <w:pPr>
        <w:spacing w:line="480" w:lineRule="auto"/>
        <w:ind w:firstLine="720"/>
        <w:jc w:val="both"/>
        <w:rPr>
          <w:rFonts w:ascii="Arial" w:hAnsi="Arial" w:cs="Arial"/>
        </w:rPr>
      </w:pPr>
      <w:r>
        <w:rPr>
          <w:rFonts w:ascii="Arial" w:hAnsi="Arial" w:cs="Arial"/>
        </w:rPr>
        <w:t xml:space="preserve">The further these ends, the </w:t>
      </w:r>
      <w:r w:rsidR="00F76B2F">
        <w:rPr>
          <w:rFonts w:ascii="Arial" w:hAnsi="Arial" w:cs="Arial"/>
        </w:rPr>
        <w:t>Commission</w:t>
      </w:r>
      <w:r>
        <w:rPr>
          <w:rFonts w:ascii="Arial" w:hAnsi="Arial" w:cs="Arial"/>
        </w:rPr>
        <w:t xml:space="preserve"> scheduled an initial workshop for August 8, 2017 to be led by </w:t>
      </w:r>
      <w:r w:rsidR="00F76B2F">
        <w:rPr>
          <w:rFonts w:ascii="Arial" w:hAnsi="Arial" w:cs="Arial"/>
        </w:rPr>
        <w:t>Commission</w:t>
      </w:r>
      <w:r>
        <w:rPr>
          <w:rFonts w:ascii="Arial" w:hAnsi="Arial" w:cs="Arial"/>
        </w:rPr>
        <w:t xml:space="preserve"> Staff.  In advance of this workshop, the </w:t>
      </w:r>
      <w:r w:rsidR="00F76B2F">
        <w:rPr>
          <w:rFonts w:ascii="Arial" w:hAnsi="Arial" w:cs="Arial"/>
        </w:rPr>
        <w:t>Commission</w:t>
      </w:r>
      <w:r>
        <w:rPr>
          <w:rFonts w:ascii="Arial" w:hAnsi="Arial" w:cs="Arial"/>
        </w:rPr>
        <w:t xml:space="preserve"> requested that all interested persons should file comments on potential topics for discussion by July 18, 2017.</w:t>
      </w:r>
      <w:r w:rsidR="00726413">
        <w:rPr>
          <w:rStyle w:val="FootnoteReference"/>
          <w:rFonts w:ascii="Arial" w:hAnsi="Arial" w:cs="Arial"/>
        </w:rPr>
        <w:footnoteReference w:id="15"/>
      </w:r>
    </w:p>
    <w:p w:rsidR="00526FF9" w:rsidRPr="00526FF9" w:rsidRDefault="00EC7BAE" w:rsidP="00526FF9">
      <w:pPr>
        <w:pStyle w:val="ListParagraph"/>
        <w:numPr>
          <w:ilvl w:val="0"/>
          <w:numId w:val="1"/>
        </w:numPr>
        <w:spacing w:after="0" w:line="480" w:lineRule="auto"/>
        <w:jc w:val="both"/>
        <w:rPr>
          <w:rFonts w:ascii="Arial" w:hAnsi="Arial" w:cs="Arial"/>
          <w:b/>
        </w:rPr>
      </w:pPr>
      <w:r>
        <w:rPr>
          <w:rFonts w:ascii="Arial" w:hAnsi="Arial" w:cs="Arial"/>
          <w:b/>
        </w:rPr>
        <w:t>Workshop Discussion Topics</w:t>
      </w:r>
    </w:p>
    <w:p w:rsidR="007D20DF" w:rsidRDefault="007D20DF" w:rsidP="0054344D">
      <w:pPr>
        <w:spacing w:line="480" w:lineRule="auto"/>
        <w:ind w:firstLine="720"/>
        <w:jc w:val="both"/>
        <w:rPr>
          <w:rFonts w:ascii="Arial" w:hAnsi="Arial" w:cs="Arial"/>
        </w:rPr>
      </w:pPr>
      <w:r w:rsidRPr="000F51A2">
        <w:rPr>
          <w:rFonts w:ascii="Arial" w:hAnsi="Arial" w:cs="Arial"/>
        </w:rPr>
        <w:t>AARP</w:t>
      </w:r>
      <w:r>
        <w:rPr>
          <w:rFonts w:ascii="Arial" w:hAnsi="Arial" w:cs="Arial"/>
        </w:rPr>
        <w:t xml:space="preserve"> </w:t>
      </w:r>
      <w:r w:rsidRPr="000F51A2">
        <w:rPr>
          <w:rFonts w:ascii="Arial" w:hAnsi="Arial" w:cs="Arial"/>
        </w:rPr>
        <w:t xml:space="preserve">wishes to thank the </w:t>
      </w:r>
      <w:r w:rsidR="00F76B2F">
        <w:rPr>
          <w:rFonts w:ascii="Arial" w:hAnsi="Arial" w:cs="Arial"/>
        </w:rPr>
        <w:t xml:space="preserve">Commission </w:t>
      </w:r>
      <w:r w:rsidRPr="000F51A2">
        <w:rPr>
          <w:rFonts w:ascii="Arial" w:hAnsi="Arial" w:cs="Arial"/>
        </w:rPr>
        <w:t>for the opportunity to submit our written comments.</w:t>
      </w:r>
      <w:r>
        <w:rPr>
          <w:rFonts w:ascii="Arial" w:hAnsi="Arial" w:cs="Arial"/>
        </w:rPr>
        <w:t xml:space="preserve"> </w:t>
      </w:r>
      <w:r w:rsidRPr="00D519B5">
        <w:rPr>
          <w:rFonts w:ascii="Arial" w:hAnsi="Arial" w:cs="Arial"/>
        </w:rPr>
        <w:t>AARP</w:t>
      </w:r>
      <w:r>
        <w:rPr>
          <w:rFonts w:ascii="Arial" w:hAnsi="Arial" w:cs="Arial"/>
        </w:rPr>
        <w:t xml:space="preserve"> </w:t>
      </w:r>
      <w:r w:rsidRPr="00D519B5">
        <w:rPr>
          <w:rFonts w:ascii="Arial" w:hAnsi="Arial" w:cs="Arial"/>
        </w:rPr>
        <w:t>is a non-profit, nonpartisan organization, which advocates on behalf of more than 37 million citizens 50 and older nationwide.</w:t>
      </w:r>
      <w:r w:rsidRPr="00D519B5">
        <w:rPr>
          <w:rStyle w:val="FootnoteReference"/>
          <w:rFonts w:ascii="Arial" w:hAnsi="Arial" w:cs="Arial"/>
        </w:rPr>
        <w:footnoteReference w:id="16"/>
      </w:r>
      <w:r w:rsidRPr="00D519B5">
        <w:rPr>
          <w:rFonts w:ascii="Arial" w:hAnsi="Arial" w:cs="Arial"/>
        </w:rPr>
        <w:t xml:space="preserve">  AARP advances a variety of issues its members find important to them, including the high costs of electric and natural gas utility rates.  AARP</w:t>
      </w:r>
      <w:r>
        <w:rPr>
          <w:rFonts w:ascii="Arial" w:hAnsi="Arial" w:cs="Arial"/>
        </w:rPr>
        <w:t xml:space="preserve"> </w:t>
      </w:r>
      <w:r w:rsidRPr="00D519B5">
        <w:rPr>
          <w:rFonts w:ascii="Arial" w:hAnsi="Arial" w:cs="Arial"/>
        </w:rPr>
        <w:t>represents AARP interests in Vermont, on behalf of the 128,000 members in the State.</w:t>
      </w:r>
      <w:r w:rsidRPr="00D519B5">
        <w:rPr>
          <w:rStyle w:val="FootnoteReference"/>
          <w:rFonts w:ascii="Arial" w:hAnsi="Arial" w:cs="Arial"/>
        </w:rPr>
        <w:footnoteReference w:id="17"/>
      </w:r>
    </w:p>
    <w:p w:rsidR="00EE541C" w:rsidRDefault="005E3744" w:rsidP="00B44BB0">
      <w:pPr>
        <w:spacing w:line="480" w:lineRule="auto"/>
        <w:ind w:firstLine="720"/>
        <w:jc w:val="both"/>
        <w:rPr>
          <w:rFonts w:ascii="Arial" w:hAnsi="Arial" w:cs="Arial"/>
        </w:rPr>
      </w:pPr>
      <w:r>
        <w:rPr>
          <w:rFonts w:ascii="Arial" w:hAnsi="Arial" w:cs="Arial"/>
        </w:rPr>
        <w:t xml:space="preserve">AARP agrees with the </w:t>
      </w:r>
      <w:r w:rsidR="00F76B2F">
        <w:rPr>
          <w:rFonts w:ascii="Arial" w:hAnsi="Arial" w:cs="Arial"/>
        </w:rPr>
        <w:t>Commission</w:t>
      </w:r>
      <w:r>
        <w:rPr>
          <w:rFonts w:ascii="Arial" w:hAnsi="Arial" w:cs="Arial"/>
        </w:rPr>
        <w:t xml:space="preserve"> that now is the appropriate time to take a </w:t>
      </w:r>
      <w:r w:rsidR="00F76B2F">
        <w:rPr>
          <w:rFonts w:ascii="Arial" w:hAnsi="Arial" w:cs="Arial"/>
        </w:rPr>
        <w:t>Commission</w:t>
      </w:r>
      <w:r>
        <w:rPr>
          <w:rFonts w:ascii="Arial" w:hAnsi="Arial" w:cs="Arial"/>
        </w:rPr>
        <w:t xml:space="preserve">er look at the regulatory structure within the </w:t>
      </w:r>
      <w:r w:rsidR="00EE541C">
        <w:rPr>
          <w:rFonts w:ascii="Arial" w:hAnsi="Arial" w:cs="Arial"/>
        </w:rPr>
        <w:t>s</w:t>
      </w:r>
      <w:r>
        <w:rPr>
          <w:rFonts w:ascii="Arial" w:hAnsi="Arial" w:cs="Arial"/>
        </w:rPr>
        <w:t xml:space="preserve">tate with the recent expiration of alternative rate plans (“ARP”) for the </w:t>
      </w:r>
      <w:r w:rsidR="00EE541C">
        <w:rPr>
          <w:rFonts w:ascii="Arial" w:hAnsi="Arial" w:cs="Arial"/>
        </w:rPr>
        <w:t>s</w:t>
      </w:r>
      <w:r>
        <w:rPr>
          <w:rFonts w:ascii="Arial" w:hAnsi="Arial" w:cs="Arial"/>
        </w:rPr>
        <w:t xml:space="preserve">tate’s major electric and natural gas utilities.  Alternative regulation was first conceived more than a decade ago in Vermont.  </w:t>
      </w:r>
      <w:r w:rsidR="008D2439">
        <w:rPr>
          <w:rFonts w:ascii="Arial" w:hAnsi="Arial" w:cs="Arial"/>
        </w:rPr>
        <w:t xml:space="preserve">As the </w:t>
      </w:r>
      <w:r w:rsidR="00F76B2F">
        <w:rPr>
          <w:rFonts w:ascii="Arial" w:hAnsi="Arial" w:cs="Arial"/>
        </w:rPr>
        <w:t>Commission</w:t>
      </w:r>
      <w:r w:rsidR="008D2439">
        <w:rPr>
          <w:rFonts w:ascii="Arial" w:hAnsi="Arial" w:cs="Arial"/>
        </w:rPr>
        <w:t xml:space="preserve"> undoubtedly knows, AARP </w:t>
      </w:r>
      <w:r w:rsidR="005268D0">
        <w:rPr>
          <w:rFonts w:ascii="Arial" w:hAnsi="Arial" w:cs="Arial"/>
        </w:rPr>
        <w:t xml:space="preserve">Vermont </w:t>
      </w:r>
      <w:r w:rsidR="008D2439">
        <w:rPr>
          <w:rFonts w:ascii="Arial" w:hAnsi="Arial" w:cs="Arial"/>
        </w:rPr>
        <w:t xml:space="preserve">has expressed concern with the nature of alternative regulation in </w:t>
      </w:r>
      <w:r w:rsidR="00B44BB0">
        <w:rPr>
          <w:rFonts w:ascii="Arial" w:hAnsi="Arial" w:cs="Arial"/>
        </w:rPr>
        <w:t xml:space="preserve">Vermont and hopes that the current workshop process will not accept alternative regulation as the preferred method of regulation without </w:t>
      </w:r>
      <w:r w:rsidR="00B44BB0">
        <w:rPr>
          <w:rFonts w:ascii="Arial" w:hAnsi="Arial" w:cs="Arial"/>
        </w:rPr>
        <w:lastRenderedPageBreak/>
        <w:t>further critical review</w:t>
      </w:r>
      <w:r w:rsidR="008D2439">
        <w:rPr>
          <w:rFonts w:ascii="Arial" w:hAnsi="Arial" w:cs="Arial"/>
        </w:rPr>
        <w:t>.</w:t>
      </w:r>
      <w:r w:rsidR="00B44BB0">
        <w:rPr>
          <w:rFonts w:ascii="Arial" w:hAnsi="Arial" w:cs="Arial"/>
        </w:rPr>
        <w:t xml:space="preserve">  Alternative regulation, particularly of the form used by Vermont’s utilities in the past, has been rarely employed in the U.S. </w:t>
      </w:r>
      <w:r w:rsidR="00EC7BAE">
        <w:rPr>
          <w:rFonts w:ascii="Arial" w:hAnsi="Arial" w:cs="Arial"/>
        </w:rPr>
        <w:t xml:space="preserve">  AARP </w:t>
      </w:r>
      <w:r w:rsidR="00B44BB0">
        <w:rPr>
          <w:rFonts w:ascii="Arial" w:hAnsi="Arial" w:cs="Arial"/>
        </w:rPr>
        <w:t>has provided an abundance of expert witness testimony, legislative testimony, and reports examining and chronicling the challenges, and ultimately, the failure of alternative regulation in Vermont.</w:t>
      </w:r>
      <w:r w:rsidR="008D2439">
        <w:rPr>
          <w:rFonts w:ascii="Arial" w:hAnsi="Arial" w:cs="Arial"/>
        </w:rPr>
        <w:t xml:space="preserve"> </w:t>
      </w:r>
    </w:p>
    <w:p w:rsidR="00EE541C" w:rsidRDefault="00EE541C" w:rsidP="00B44BB0">
      <w:pPr>
        <w:spacing w:line="480" w:lineRule="auto"/>
        <w:ind w:firstLine="720"/>
        <w:jc w:val="both"/>
        <w:rPr>
          <w:rFonts w:ascii="Arial" w:hAnsi="Arial" w:cs="Arial"/>
        </w:rPr>
      </w:pPr>
      <w:r>
        <w:rPr>
          <w:rFonts w:ascii="Arial" w:hAnsi="Arial" w:cs="Arial"/>
        </w:rPr>
        <w:t xml:space="preserve">However, with the drop in sales and emergence of new technologies, many states are now re-considering the traditional regulatory model. AARP has filed comments </w:t>
      </w:r>
      <w:r w:rsidR="00B35131">
        <w:rPr>
          <w:rFonts w:ascii="Arial" w:hAnsi="Arial" w:cs="Arial"/>
        </w:rPr>
        <w:t>in several state proceedings across the country.</w:t>
      </w:r>
      <w:r>
        <w:rPr>
          <w:rFonts w:ascii="Arial" w:hAnsi="Arial" w:cs="Arial"/>
        </w:rPr>
        <w:t xml:space="preserve"> Alternative regulation has taken many different names (REV in New York, E21 in Minnesota, </w:t>
      </w:r>
      <w:proofErr w:type="gramStart"/>
      <w:r>
        <w:rPr>
          <w:rFonts w:ascii="Arial" w:hAnsi="Arial" w:cs="Arial"/>
        </w:rPr>
        <w:t>NextGrid</w:t>
      </w:r>
      <w:proofErr w:type="gramEnd"/>
      <w:r w:rsidR="00860E40">
        <w:rPr>
          <w:rFonts w:ascii="Arial" w:hAnsi="Arial" w:cs="Arial"/>
        </w:rPr>
        <w:t>/Utility of the Future</w:t>
      </w:r>
      <w:r>
        <w:rPr>
          <w:rFonts w:ascii="Arial" w:hAnsi="Arial" w:cs="Arial"/>
        </w:rPr>
        <w:t xml:space="preserve"> in Illinois) and indeed means different things to different people. In the rubric of alternative regulation we have seen discussions about performance-based or metric ratemaking, new surcharges for infrastructure investment, new rate designs (higher fixed charges, new demand rates), and a discussion of wide spread adoption of time of use pricing.</w:t>
      </w:r>
    </w:p>
    <w:p w:rsidR="00EE541C" w:rsidRDefault="00EE541C" w:rsidP="00B44BB0">
      <w:pPr>
        <w:spacing w:line="480" w:lineRule="auto"/>
        <w:ind w:firstLine="720"/>
        <w:jc w:val="both"/>
        <w:rPr>
          <w:rFonts w:ascii="Arial" w:hAnsi="Arial" w:cs="Arial"/>
        </w:rPr>
      </w:pPr>
      <w:r>
        <w:rPr>
          <w:rFonts w:ascii="Arial" w:hAnsi="Arial" w:cs="Arial"/>
        </w:rPr>
        <w:t xml:space="preserve">AARP’s main concern has been the impact on affordability (and avoidance of new mechanisms which fast track rate increases) or the imposition of new charges and fees which raise bills or make energy spending harder to control. </w:t>
      </w:r>
      <w:r w:rsidR="00860E40">
        <w:rPr>
          <w:rFonts w:ascii="Arial" w:hAnsi="Arial" w:cs="Arial"/>
        </w:rPr>
        <w:t>Accordingly we focus on what is the value to consumer</w:t>
      </w:r>
      <w:r w:rsidR="00B35131">
        <w:rPr>
          <w:rFonts w:ascii="Arial" w:hAnsi="Arial" w:cs="Arial"/>
        </w:rPr>
        <w:t>s</w:t>
      </w:r>
      <w:r w:rsidR="00860E40">
        <w:rPr>
          <w:rFonts w:ascii="Arial" w:hAnsi="Arial" w:cs="Arial"/>
        </w:rPr>
        <w:t xml:space="preserve"> in making any change</w:t>
      </w:r>
      <w:r w:rsidR="00B35131">
        <w:rPr>
          <w:rFonts w:ascii="Arial" w:hAnsi="Arial" w:cs="Arial"/>
        </w:rPr>
        <w:t>s</w:t>
      </w:r>
      <w:bookmarkStart w:id="0" w:name="_GoBack"/>
      <w:bookmarkEnd w:id="0"/>
      <w:r w:rsidR="00860E40">
        <w:rPr>
          <w:rFonts w:ascii="Arial" w:hAnsi="Arial" w:cs="Arial"/>
        </w:rPr>
        <w:t>.</w:t>
      </w:r>
    </w:p>
    <w:p w:rsidR="00B44BB0" w:rsidRPr="00B44BB0" w:rsidRDefault="00EC7BAE" w:rsidP="00B44BB0">
      <w:pPr>
        <w:spacing w:line="480" w:lineRule="auto"/>
        <w:ind w:firstLine="720"/>
        <w:jc w:val="both"/>
        <w:rPr>
          <w:rFonts w:ascii="Arial" w:hAnsi="Arial" w:cs="Arial"/>
        </w:rPr>
      </w:pPr>
      <w:r>
        <w:rPr>
          <w:rFonts w:ascii="Arial" w:hAnsi="Arial" w:cs="Arial"/>
        </w:rPr>
        <w:t xml:space="preserve">  AARP</w:t>
      </w:r>
      <w:r w:rsidR="00860E40">
        <w:rPr>
          <w:rFonts w:ascii="Arial" w:hAnsi="Arial" w:cs="Arial"/>
        </w:rPr>
        <w:t xml:space="preserve"> </w:t>
      </w:r>
      <w:r w:rsidR="00B44BB0">
        <w:rPr>
          <w:rFonts w:ascii="Arial" w:hAnsi="Arial" w:cs="Arial"/>
        </w:rPr>
        <w:t>recommends the following issues/questions be addressed in the upcoming workshop as it pertain</w:t>
      </w:r>
      <w:r>
        <w:rPr>
          <w:rFonts w:ascii="Arial" w:hAnsi="Arial" w:cs="Arial"/>
        </w:rPr>
        <w:t>s to Vermont utility regulation:</w:t>
      </w:r>
    </w:p>
    <w:p w:rsidR="00860E40" w:rsidRPr="00B44BB0" w:rsidRDefault="00860E40" w:rsidP="00860E40">
      <w:pPr>
        <w:pStyle w:val="ListParagraph"/>
        <w:numPr>
          <w:ilvl w:val="0"/>
          <w:numId w:val="5"/>
        </w:numPr>
        <w:spacing w:line="480" w:lineRule="auto"/>
        <w:jc w:val="both"/>
        <w:rPr>
          <w:rFonts w:ascii="Arial" w:hAnsi="Arial" w:cs="Arial"/>
          <w:sz w:val="24"/>
          <w:szCs w:val="24"/>
        </w:rPr>
      </w:pPr>
      <w:r>
        <w:rPr>
          <w:rFonts w:ascii="Arial" w:hAnsi="Arial" w:cs="Arial"/>
          <w:sz w:val="24"/>
          <w:szCs w:val="24"/>
        </w:rPr>
        <w:t>What is the impact on rates and customer bills of these new proposals?</w:t>
      </w:r>
    </w:p>
    <w:p w:rsidR="00CA2236" w:rsidRDefault="00B44BB0" w:rsidP="00B44BB0">
      <w:pPr>
        <w:pStyle w:val="ListParagraph"/>
        <w:numPr>
          <w:ilvl w:val="0"/>
          <w:numId w:val="5"/>
        </w:numPr>
        <w:spacing w:line="480" w:lineRule="auto"/>
        <w:jc w:val="both"/>
        <w:rPr>
          <w:rFonts w:ascii="Arial" w:hAnsi="Arial" w:cs="Arial"/>
          <w:sz w:val="24"/>
          <w:szCs w:val="24"/>
        </w:rPr>
      </w:pPr>
      <w:r>
        <w:rPr>
          <w:rFonts w:ascii="Arial" w:hAnsi="Arial" w:cs="Arial"/>
          <w:sz w:val="24"/>
          <w:szCs w:val="24"/>
        </w:rPr>
        <w:t>Do the benefits of alternative regulation outweigh their costs, particularly given past Vermont experiences?</w:t>
      </w:r>
    </w:p>
    <w:p w:rsidR="00B44BB0" w:rsidRDefault="00B44BB0" w:rsidP="00B44BB0">
      <w:pPr>
        <w:pStyle w:val="ListParagraph"/>
        <w:numPr>
          <w:ilvl w:val="0"/>
          <w:numId w:val="5"/>
        </w:numPr>
        <w:spacing w:line="480" w:lineRule="auto"/>
        <w:jc w:val="both"/>
        <w:rPr>
          <w:rFonts w:ascii="Arial" w:hAnsi="Arial" w:cs="Arial"/>
          <w:sz w:val="24"/>
          <w:szCs w:val="24"/>
        </w:rPr>
      </w:pPr>
      <w:r>
        <w:rPr>
          <w:rFonts w:ascii="Arial" w:hAnsi="Arial" w:cs="Arial"/>
          <w:sz w:val="24"/>
          <w:szCs w:val="24"/>
        </w:rPr>
        <w:lastRenderedPageBreak/>
        <w:t>Why is alternative regulation, such as the form used by Vermont’s utilities, rarely employed in other U.S. regulatory jurisdictions?</w:t>
      </w:r>
    </w:p>
    <w:p w:rsidR="00B44BB0" w:rsidRDefault="00B44BB0" w:rsidP="00B44BB0">
      <w:pPr>
        <w:pStyle w:val="ListParagraph"/>
        <w:numPr>
          <w:ilvl w:val="0"/>
          <w:numId w:val="5"/>
        </w:numPr>
        <w:spacing w:line="480" w:lineRule="auto"/>
        <w:jc w:val="both"/>
        <w:rPr>
          <w:rFonts w:ascii="Arial" w:hAnsi="Arial" w:cs="Arial"/>
          <w:sz w:val="24"/>
          <w:szCs w:val="24"/>
        </w:rPr>
      </w:pPr>
      <w:r>
        <w:rPr>
          <w:rFonts w:ascii="Arial" w:hAnsi="Arial" w:cs="Arial"/>
          <w:sz w:val="24"/>
          <w:szCs w:val="24"/>
        </w:rPr>
        <w:t>Would the emerging trends and operations in the utility business be better suited for traditional cost-of-service regulation or some slight modification of that paradigm?</w:t>
      </w:r>
    </w:p>
    <w:p w:rsidR="00B44BB0" w:rsidRDefault="00EC7BAE" w:rsidP="00B44BB0">
      <w:pPr>
        <w:pStyle w:val="ListParagraph"/>
        <w:numPr>
          <w:ilvl w:val="0"/>
          <w:numId w:val="5"/>
        </w:numPr>
        <w:spacing w:line="480" w:lineRule="auto"/>
        <w:jc w:val="both"/>
        <w:rPr>
          <w:rFonts w:ascii="Arial" w:hAnsi="Arial" w:cs="Arial"/>
          <w:sz w:val="24"/>
          <w:szCs w:val="24"/>
        </w:rPr>
      </w:pPr>
      <w:r>
        <w:rPr>
          <w:rFonts w:ascii="Arial" w:hAnsi="Arial" w:cs="Arial"/>
          <w:sz w:val="24"/>
          <w:szCs w:val="24"/>
        </w:rPr>
        <w:t xml:space="preserve">If alternative regulation is to be utilized in Vermont, how can a structure </w:t>
      </w:r>
      <w:proofErr w:type="gramStart"/>
      <w:r>
        <w:rPr>
          <w:rFonts w:ascii="Arial" w:hAnsi="Arial" w:cs="Arial"/>
          <w:sz w:val="24"/>
          <w:szCs w:val="24"/>
        </w:rPr>
        <w:t>be</w:t>
      </w:r>
      <w:proofErr w:type="gramEnd"/>
      <w:r>
        <w:rPr>
          <w:rFonts w:ascii="Arial" w:hAnsi="Arial" w:cs="Arial"/>
          <w:sz w:val="24"/>
          <w:szCs w:val="24"/>
        </w:rPr>
        <w:t xml:space="preserve"> established that documents, measures and assures ratepayer benefits?</w:t>
      </w:r>
    </w:p>
    <w:p w:rsidR="00860E40" w:rsidRPr="00860E40" w:rsidRDefault="00EE541C" w:rsidP="00860E40">
      <w:pPr>
        <w:pStyle w:val="ListParagraph"/>
        <w:numPr>
          <w:ilvl w:val="0"/>
          <w:numId w:val="5"/>
        </w:numPr>
        <w:spacing w:line="480" w:lineRule="auto"/>
        <w:jc w:val="both"/>
        <w:rPr>
          <w:rFonts w:ascii="Arial" w:hAnsi="Arial" w:cs="Arial"/>
          <w:b/>
          <w:sz w:val="24"/>
          <w:szCs w:val="24"/>
        </w:rPr>
      </w:pPr>
      <w:r>
        <w:rPr>
          <w:rFonts w:ascii="Arial" w:hAnsi="Arial" w:cs="Arial"/>
          <w:sz w:val="24"/>
          <w:szCs w:val="24"/>
        </w:rPr>
        <w:t xml:space="preserve">What lessons can be learned from the exploration of this topic done by other Commissions or states (Minnesota, New York, Michigan, Pennsylvania, etc.). </w:t>
      </w:r>
    </w:p>
    <w:p w:rsidR="00961604" w:rsidRPr="00D9500B" w:rsidRDefault="00EC7BAE" w:rsidP="00860E40">
      <w:pPr>
        <w:pStyle w:val="ListParagraph"/>
        <w:spacing w:line="480" w:lineRule="auto"/>
        <w:ind w:left="1440"/>
        <w:jc w:val="both"/>
        <w:rPr>
          <w:rFonts w:ascii="Arial" w:hAnsi="Arial" w:cs="Arial"/>
          <w:b/>
          <w:sz w:val="24"/>
          <w:szCs w:val="24"/>
        </w:rPr>
      </w:pPr>
      <w:r>
        <w:rPr>
          <w:rFonts w:ascii="Arial" w:hAnsi="Arial" w:cs="Arial"/>
          <w:b/>
          <w:sz w:val="24"/>
          <w:szCs w:val="24"/>
        </w:rPr>
        <w:t>C</w:t>
      </w:r>
      <w:r w:rsidR="00961604">
        <w:rPr>
          <w:rFonts w:ascii="Arial" w:hAnsi="Arial" w:cs="Arial"/>
          <w:b/>
          <w:sz w:val="24"/>
          <w:szCs w:val="24"/>
        </w:rPr>
        <w:t>onclusions</w:t>
      </w:r>
    </w:p>
    <w:p w:rsidR="00101EC2" w:rsidRDefault="00961604" w:rsidP="0054344D">
      <w:pPr>
        <w:spacing w:line="480" w:lineRule="auto"/>
        <w:ind w:firstLine="720"/>
        <w:jc w:val="both"/>
        <w:rPr>
          <w:rFonts w:ascii="Arial" w:hAnsi="Arial" w:cs="Arial"/>
        </w:rPr>
      </w:pPr>
      <w:r>
        <w:rPr>
          <w:rFonts w:ascii="Arial" w:hAnsi="Arial" w:cs="Arial"/>
        </w:rPr>
        <w:t xml:space="preserve">AARP is encouraged by the </w:t>
      </w:r>
      <w:r w:rsidR="00F76B2F">
        <w:rPr>
          <w:rFonts w:ascii="Arial" w:hAnsi="Arial" w:cs="Arial"/>
        </w:rPr>
        <w:t>Commission</w:t>
      </w:r>
      <w:r>
        <w:rPr>
          <w:rFonts w:ascii="Arial" w:hAnsi="Arial" w:cs="Arial"/>
        </w:rPr>
        <w:t xml:space="preserve">’s decision to take a broad look at the regulatory structure in Vermont.  </w:t>
      </w:r>
      <w:r w:rsidR="00690324">
        <w:rPr>
          <w:rFonts w:ascii="Arial" w:hAnsi="Arial" w:cs="Arial"/>
        </w:rPr>
        <w:t xml:space="preserve">AARP is particularly encouraged by the </w:t>
      </w:r>
      <w:r w:rsidR="00F76B2F">
        <w:rPr>
          <w:rFonts w:ascii="Arial" w:hAnsi="Arial" w:cs="Arial"/>
        </w:rPr>
        <w:t>Commission</w:t>
      </w:r>
      <w:r w:rsidR="00690324">
        <w:rPr>
          <w:rFonts w:ascii="Arial" w:hAnsi="Arial" w:cs="Arial"/>
        </w:rPr>
        <w:t xml:space="preserve">’s proposal to comprehensively examine the effectiveness of past alternative regulation mechanisms.  AARP believes that the </w:t>
      </w:r>
      <w:r w:rsidR="00F76B2F">
        <w:rPr>
          <w:rFonts w:ascii="Arial" w:hAnsi="Arial" w:cs="Arial"/>
        </w:rPr>
        <w:t>Commission</w:t>
      </w:r>
      <w:r w:rsidR="00690324">
        <w:rPr>
          <w:rFonts w:ascii="Arial" w:hAnsi="Arial" w:cs="Arial"/>
        </w:rPr>
        <w:t xml:space="preserve"> will find that the prior ARP mechanisms approved for the State’s major utilities have produced less-than-s</w:t>
      </w:r>
      <w:r w:rsidR="00EC7BAE">
        <w:rPr>
          <w:rFonts w:ascii="Arial" w:hAnsi="Arial" w:cs="Arial"/>
        </w:rPr>
        <w:t>pectacular results</w:t>
      </w:r>
      <w:r w:rsidR="00690324">
        <w:rPr>
          <w:rFonts w:ascii="Arial" w:hAnsi="Arial" w:cs="Arial"/>
        </w:rPr>
        <w:t>.</w:t>
      </w:r>
    </w:p>
    <w:p w:rsidR="00EC7BAE" w:rsidRDefault="00690324" w:rsidP="0054344D">
      <w:pPr>
        <w:spacing w:line="480" w:lineRule="auto"/>
        <w:ind w:firstLine="720"/>
        <w:jc w:val="both"/>
        <w:rPr>
          <w:rFonts w:ascii="Arial" w:hAnsi="Arial" w:cs="Arial"/>
        </w:rPr>
      </w:pPr>
      <w:r>
        <w:rPr>
          <w:rFonts w:ascii="Arial" w:hAnsi="Arial" w:cs="Arial"/>
        </w:rPr>
        <w:t>AARP is also in ag</w:t>
      </w:r>
      <w:r w:rsidR="00EC7BAE">
        <w:rPr>
          <w:rFonts w:ascii="Arial" w:hAnsi="Arial" w:cs="Arial"/>
        </w:rPr>
        <w:t xml:space="preserve">reement with the </w:t>
      </w:r>
      <w:r w:rsidR="00F76B2F">
        <w:rPr>
          <w:rFonts w:ascii="Arial" w:hAnsi="Arial" w:cs="Arial"/>
        </w:rPr>
        <w:t>Commission</w:t>
      </w:r>
      <w:r w:rsidR="00EC7BAE">
        <w:rPr>
          <w:rFonts w:ascii="Arial" w:hAnsi="Arial" w:cs="Arial"/>
        </w:rPr>
        <w:t>’s desire</w:t>
      </w:r>
      <w:r>
        <w:rPr>
          <w:rFonts w:ascii="Arial" w:hAnsi="Arial" w:cs="Arial"/>
        </w:rPr>
        <w:t xml:space="preserve"> to re-examine regulatory structures in the State</w:t>
      </w:r>
      <w:r w:rsidR="00EC7BAE">
        <w:rPr>
          <w:rFonts w:ascii="Arial" w:hAnsi="Arial" w:cs="Arial"/>
        </w:rPr>
        <w:t xml:space="preserve"> in the context of more recent s</w:t>
      </w:r>
      <w:r>
        <w:rPr>
          <w:rFonts w:ascii="Arial" w:hAnsi="Arial" w:cs="Arial"/>
        </w:rPr>
        <w:t xml:space="preserve">tate </w:t>
      </w:r>
      <w:r w:rsidR="00EC7BAE">
        <w:rPr>
          <w:rFonts w:ascii="Arial" w:hAnsi="Arial" w:cs="Arial"/>
        </w:rPr>
        <w:t xml:space="preserve">regulatory </w:t>
      </w:r>
      <w:r>
        <w:rPr>
          <w:rFonts w:ascii="Arial" w:hAnsi="Arial" w:cs="Arial"/>
        </w:rPr>
        <w:t>initiatives</w:t>
      </w:r>
      <w:r w:rsidR="00EC7BAE">
        <w:rPr>
          <w:rFonts w:ascii="Arial" w:hAnsi="Arial" w:cs="Arial"/>
        </w:rPr>
        <w:t xml:space="preserve"> around the country</w:t>
      </w:r>
      <w:r>
        <w:rPr>
          <w:rFonts w:ascii="Arial" w:hAnsi="Arial" w:cs="Arial"/>
        </w:rPr>
        <w:t xml:space="preserve">.  </w:t>
      </w:r>
      <w:r w:rsidR="00EC7BAE">
        <w:rPr>
          <w:rFonts w:ascii="Arial" w:hAnsi="Arial" w:cs="Arial"/>
        </w:rPr>
        <w:t>However, given past experiences of over a decade, AARP Vermont suggests a</w:t>
      </w:r>
      <w:r w:rsidR="00377A9B">
        <w:rPr>
          <w:rFonts w:ascii="Arial" w:hAnsi="Arial" w:cs="Arial"/>
        </w:rPr>
        <w:t xml:space="preserve"> </w:t>
      </w:r>
      <w:r w:rsidR="00EC7BAE">
        <w:rPr>
          <w:rFonts w:ascii="Arial" w:hAnsi="Arial" w:cs="Arial"/>
        </w:rPr>
        <w:t xml:space="preserve">strong consideration of a </w:t>
      </w:r>
      <w:r w:rsidR="00377A9B">
        <w:rPr>
          <w:rFonts w:ascii="Arial" w:hAnsi="Arial" w:cs="Arial"/>
        </w:rPr>
        <w:t>“back to the basi</w:t>
      </w:r>
      <w:r w:rsidR="00EC7BAE">
        <w:rPr>
          <w:rFonts w:ascii="Arial" w:hAnsi="Arial" w:cs="Arial"/>
        </w:rPr>
        <w:t>cs” approach in Vermont utility regulation</w:t>
      </w:r>
      <w:r w:rsidR="00377A9B">
        <w:rPr>
          <w:rFonts w:ascii="Arial" w:hAnsi="Arial" w:cs="Arial"/>
        </w:rPr>
        <w:t xml:space="preserve">.  Discussions should not be limited to discussions of historic ARP mechanisms used in Vermont in </w:t>
      </w:r>
      <w:r w:rsidR="00B93FD4">
        <w:rPr>
          <w:rFonts w:ascii="Arial" w:hAnsi="Arial" w:cs="Arial"/>
        </w:rPr>
        <w:t>mis</w:t>
      </w:r>
      <w:r w:rsidR="00377A9B">
        <w:rPr>
          <w:rFonts w:ascii="Arial" w:hAnsi="Arial" w:cs="Arial"/>
        </w:rPr>
        <w:t xml:space="preserve">guided attempts to correct these flawed </w:t>
      </w:r>
      <w:r w:rsidR="00377A9B">
        <w:rPr>
          <w:rFonts w:ascii="Arial" w:hAnsi="Arial" w:cs="Arial"/>
        </w:rPr>
        <w:lastRenderedPageBreak/>
        <w:t>mechanisms.  Instead, AARP suggests that the examination of alternative regulation should include discussions of the merits and demerits of such regulatory regimes compared to traditional cost-of-service regulation in the context of the recent changes in the Vermont operating environment noted by the</w:t>
      </w:r>
      <w:r w:rsidR="00F24AE7">
        <w:rPr>
          <w:rFonts w:ascii="Arial" w:hAnsi="Arial" w:cs="Arial"/>
        </w:rPr>
        <w:t xml:space="preserve"> </w:t>
      </w:r>
      <w:r w:rsidR="00EE541C">
        <w:rPr>
          <w:rFonts w:ascii="Arial" w:hAnsi="Arial" w:cs="Arial"/>
        </w:rPr>
        <w:t>PUC</w:t>
      </w:r>
      <w:r w:rsidR="00377A9B">
        <w:rPr>
          <w:rFonts w:ascii="Arial" w:hAnsi="Arial" w:cs="Arial"/>
        </w:rPr>
        <w:t xml:space="preserve">.  </w:t>
      </w:r>
    </w:p>
    <w:p w:rsidR="001B266D" w:rsidRDefault="00377A9B" w:rsidP="001B266D">
      <w:pPr>
        <w:spacing w:line="480" w:lineRule="auto"/>
        <w:ind w:firstLine="720"/>
        <w:jc w:val="both"/>
        <w:rPr>
          <w:rFonts w:ascii="Arial" w:hAnsi="Arial" w:cs="Arial"/>
        </w:rPr>
      </w:pPr>
      <w:r>
        <w:rPr>
          <w:rFonts w:ascii="Arial" w:hAnsi="Arial" w:cs="Arial"/>
        </w:rPr>
        <w:t xml:space="preserve">Likewise, the examination of alternative regulation should </w:t>
      </w:r>
      <w:r w:rsidR="00EC7BAE">
        <w:rPr>
          <w:rFonts w:ascii="Arial" w:hAnsi="Arial" w:cs="Arial"/>
        </w:rPr>
        <w:t xml:space="preserve">focus on </w:t>
      </w:r>
      <w:r>
        <w:rPr>
          <w:rFonts w:ascii="Arial" w:hAnsi="Arial" w:cs="Arial"/>
        </w:rPr>
        <w:t xml:space="preserve">practical </w:t>
      </w:r>
      <w:r w:rsidR="00EC7BAE">
        <w:rPr>
          <w:rFonts w:ascii="Arial" w:hAnsi="Arial" w:cs="Arial"/>
        </w:rPr>
        <w:t>matters associated with the implementation and design o</w:t>
      </w:r>
      <w:r>
        <w:rPr>
          <w:rFonts w:ascii="Arial" w:hAnsi="Arial" w:cs="Arial"/>
        </w:rPr>
        <w:t>f alternative regulation</w:t>
      </w:r>
      <w:r w:rsidR="00EC7BAE">
        <w:rPr>
          <w:rFonts w:ascii="Arial" w:hAnsi="Arial" w:cs="Arial"/>
        </w:rPr>
        <w:t xml:space="preserve"> with a particular emphasis on ratepayers.  Any new form of alternative regulation, to the extent it is used, must identify methods by which the quantification and documentation of ratepayer benefits can be established in order to avoid prior outcomes that have been biased in favor of utilities and their shareholders, not Vermont ratepayers.</w:t>
      </w:r>
    </w:p>
    <w:p w:rsidR="001B266D" w:rsidRDefault="001B266D" w:rsidP="001B266D">
      <w:pPr>
        <w:spacing w:line="480" w:lineRule="auto"/>
        <w:jc w:val="both"/>
        <w:rPr>
          <w:rFonts w:ascii="Arial" w:hAnsi="Arial" w:cs="Arial"/>
        </w:rPr>
      </w:pPr>
    </w:p>
    <w:p w:rsidR="007D20DF" w:rsidRDefault="001B266D" w:rsidP="001B266D">
      <w:pPr>
        <w:spacing w:line="480" w:lineRule="auto"/>
        <w:jc w:val="both"/>
        <w:rPr>
          <w:rFonts w:ascii="Arial" w:hAnsi="Arial" w:cs="Arial"/>
        </w:rPr>
      </w:pPr>
      <w:r w:rsidRPr="001B266D">
        <w:rPr>
          <w:rFonts w:ascii="Times New Roman" w:eastAsia="MS Mincho" w:hAnsi="Times New Roman" w:cs="Times New Roman"/>
          <w:noProof/>
        </w:rPr>
        <w:drawing>
          <wp:anchor distT="0" distB="0" distL="114300" distR="114300" simplePos="0" relativeHeight="251659264" behindDoc="1" locked="0" layoutInCell="1" allowOverlap="1" wp14:anchorId="7344A27E" wp14:editId="2B1AB77B">
            <wp:simplePos x="0" y="0"/>
            <wp:positionH relativeFrom="column">
              <wp:posOffset>-175260</wp:posOffset>
            </wp:positionH>
            <wp:positionV relativeFrom="paragraph">
              <wp:posOffset>244475</wp:posOffset>
            </wp:positionV>
            <wp:extent cx="2601595" cy="612775"/>
            <wp:effectExtent l="0" t="0" r="8255" b="0"/>
            <wp:wrapNone/>
            <wp:docPr id="3" name="Picture 3" descr="53CEB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3CEB37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1595" cy="612775"/>
                    </a:xfrm>
                    <a:prstGeom prst="rect">
                      <a:avLst/>
                    </a:prstGeom>
                    <a:noFill/>
                  </pic:spPr>
                </pic:pic>
              </a:graphicData>
            </a:graphic>
            <wp14:sizeRelH relativeFrom="page">
              <wp14:pctWidth>0</wp14:pctWidth>
            </wp14:sizeRelH>
            <wp14:sizeRelV relativeFrom="page">
              <wp14:pctHeight>0</wp14:pctHeight>
            </wp14:sizeRelV>
          </wp:anchor>
        </w:drawing>
      </w:r>
      <w:r w:rsidR="007D20DF">
        <w:rPr>
          <w:rFonts w:ascii="Arial" w:hAnsi="Arial" w:cs="Arial"/>
        </w:rPr>
        <w:t xml:space="preserve">Sincerely, </w:t>
      </w:r>
    </w:p>
    <w:p w:rsidR="001B266D" w:rsidRDefault="001B266D" w:rsidP="008E75A7">
      <w:pPr>
        <w:spacing w:line="480" w:lineRule="auto"/>
        <w:jc w:val="both"/>
        <w:rPr>
          <w:rFonts w:ascii="Arial" w:hAnsi="Arial" w:cs="Arial"/>
        </w:rPr>
      </w:pPr>
    </w:p>
    <w:p w:rsidR="001B266D" w:rsidRDefault="001B266D" w:rsidP="008E75A7">
      <w:pPr>
        <w:spacing w:line="480" w:lineRule="auto"/>
        <w:jc w:val="both"/>
        <w:rPr>
          <w:rFonts w:ascii="Arial" w:hAnsi="Arial" w:cs="Arial"/>
        </w:rPr>
      </w:pPr>
    </w:p>
    <w:p w:rsidR="007D20DF" w:rsidRDefault="00F76B2F" w:rsidP="008E75A7">
      <w:pPr>
        <w:spacing w:line="480" w:lineRule="auto"/>
        <w:jc w:val="both"/>
        <w:rPr>
          <w:rFonts w:ascii="Arial" w:hAnsi="Arial" w:cs="Arial"/>
        </w:rPr>
      </w:pPr>
      <w:r>
        <w:rPr>
          <w:rFonts w:ascii="Arial" w:hAnsi="Arial" w:cs="Arial"/>
        </w:rPr>
        <w:t>Philene Taormina</w:t>
      </w:r>
      <w:r w:rsidR="007D20DF">
        <w:rPr>
          <w:rFonts w:ascii="Arial" w:hAnsi="Arial" w:cs="Arial"/>
        </w:rPr>
        <w:t xml:space="preserve">, AARP-VT </w:t>
      </w:r>
      <w:r>
        <w:rPr>
          <w:rFonts w:ascii="Arial" w:hAnsi="Arial" w:cs="Arial"/>
        </w:rPr>
        <w:t xml:space="preserve">Associate </w:t>
      </w:r>
      <w:r w:rsidR="007D20DF">
        <w:rPr>
          <w:rFonts w:ascii="Arial" w:hAnsi="Arial" w:cs="Arial"/>
        </w:rPr>
        <w:t>State Director</w:t>
      </w:r>
      <w:r>
        <w:rPr>
          <w:rFonts w:ascii="Arial" w:hAnsi="Arial" w:cs="Arial"/>
        </w:rPr>
        <w:t>, Advocacy</w:t>
      </w:r>
    </w:p>
    <w:p w:rsidR="00C36722" w:rsidRPr="00796448" w:rsidRDefault="00C36722" w:rsidP="0054344D"/>
    <w:sectPr w:rsidR="00C36722" w:rsidRPr="00796448" w:rsidSect="00694B24">
      <w:footerReference w:type="default" r:id="rId13"/>
      <w:headerReference w:type="first" r:id="rId14"/>
      <w:footerReference w:type="first" r:id="rId15"/>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985" w:rsidRDefault="009E2985" w:rsidP="00E22955">
      <w:r>
        <w:separator/>
      </w:r>
    </w:p>
  </w:endnote>
  <w:endnote w:type="continuationSeparator" w:id="0">
    <w:p w:rsidR="009E2985" w:rsidRDefault="009E2985" w:rsidP="00E2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9183325"/>
      <w:docPartObj>
        <w:docPartGallery w:val="Page Numbers (Bottom of Page)"/>
        <w:docPartUnique/>
      </w:docPartObj>
    </w:sdtPr>
    <w:sdtEndPr>
      <w:rPr>
        <w:noProof/>
      </w:rPr>
    </w:sdtEndPr>
    <w:sdtContent>
      <w:p w:rsidR="00C132A3" w:rsidRDefault="00C132A3">
        <w:pPr>
          <w:pStyle w:val="Footer"/>
          <w:jc w:val="center"/>
        </w:pPr>
        <w:r>
          <w:fldChar w:fldCharType="begin"/>
        </w:r>
        <w:r>
          <w:instrText xml:space="preserve"> PAGE   \* MERGEFORMAT </w:instrText>
        </w:r>
        <w:r>
          <w:fldChar w:fldCharType="separate"/>
        </w:r>
        <w:r w:rsidR="00B35131">
          <w:rPr>
            <w:noProof/>
          </w:rPr>
          <w:t>5</w:t>
        </w:r>
        <w:r>
          <w:rPr>
            <w:noProof/>
          </w:rPr>
          <w:fldChar w:fldCharType="end"/>
        </w:r>
      </w:p>
    </w:sdtContent>
  </w:sdt>
  <w:p w:rsidR="000A572E" w:rsidRDefault="000A57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6712435"/>
      <w:docPartObj>
        <w:docPartGallery w:val="Page Numbers (Bottom of Page)"/>
        <w:docPartUnique/>
      </w:docPartObj>
    </w:sdtPr>
    <w:sdtEndPr>
      <w:rPr>
        <w:noProof/>
      </w:rPr>
    </w:sdtEndPr>
    <w:sdtContent>
      <w:p w:rsidR="00DC5F35" w:rsidRDefault="00DC5F35">
        <w:pPr>
          <w:pStyle w:val="Footer"/>
          <w:jc w:val="center"/>
        </w:pPr>
        <w:r>
          <w:fldChar w:fldCharType="begin"/>
        </w:r>
        <w:r>
          <w:instrText xml:space="preserve"> PAGE   \* MERGEFORMAT </w:instrText>
        </w:r>
        <w:r>
          <w:fldChar w:fldCharType="separate"/>
        </w:r>
        <w:r w:rsidR="00B35131">
          <w:rPr>
            <w:noProof/>
          </w:rPr>
          <w:t>1</w:t>
        </w:r>
        <w:r>
          <w:rPr>
            <w:noProof/>
          </w:rPr>
          <w:fldChar w:fldCharType="end"/>
        </w:r>
      </w:p>
    </w:sdtContent>
  </w:sdt>
  <w:p w:rsidR="000A572E" w:rsidRDefault="000A57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985" w:rsidRDefault="009E2985" w:rsidP="00E22955">
      <w:r>
        <w:separator/>
      </w:r>
    </w:p>
  </w:footnote>
  <w:footnote w:type="continuationSeparator" w:id="0">
    <w:p w:rsidR="009E2985" w:rsidRDefault="009E2985" w:rsidP="00E22955">
      <w:r>
        <w:continuationSeparator/>
      </w:r>
    </w:p>
  </w:footnote>
  <w:footnote w:id="1">
    <w:p w:rsidR="0078603E" w:rsidRDefault="0078603E">
      <w:pPr>
        <w:pStyle w:val="FootnoteText"/>
      </w:pPr>
      <w:r>
        <w:rPr>
          <w:rStyle w:val="FootnoteReference"/>
        </w:rPr>
        <w:footnoteRef/>
      </w:r>
      <w:r>
        <w:t xml:space="preserve"> RE: Request for Workshop on Utility Rate Regulation, April 10, 2017, the Department of Public Service.</w:t>
      </w:r>
    </w:p>
  </w:footnote>
  <w:footnote w:id="2">
    <w:p w:rsidR="0078603E" w:rsidRDefault="0078603E">
      <w:pPr>
        <w:pStyle w:val="FootnoteText"/>
      </w:pPr>
      <w:r>
        <w:rPr>
          <w:rStyle w:val="FootnoteReference"/>
        </w:rPr>
        <w:footnoteRef/>
      </w:r>
      <w:r>
        <w:t xml:space="preserve"> </w:t>
      </w:r>
      <w:r>
        <w:rPr>
          <w:i/>
        </w:rPr>
        <w:t>Id.</w:t>
      </w:r>
      <w:r>
        <w:t>, p.</w:t>
      </w:r>
      <w:r w:rsidR="00726413">
        <w:t xml:space="preserve"> </w:t>
      </w:r>
      <w:r>
        <w:t>1.</w:t>
      </w:r>
    </w:p>
  </w:footnote>
  <w:footnote w:id="3">
    <w:p w:rsidR="0078603E" w:rsidRPr="0078603E" w:rsidRDefault="0078603E">
      <w:pPr>
        <w:pStyle w:val="FootnoteText"/>
        <w:rPr>
          <w:i/>
        </w:rPr>
      </w:pPr>
      <w:r>
        <w:rPr>
          <w:rStyle w:val="FootnoteReference"/>
        </w:rPr>
        <w:footnoteRef/>
      </w:r>
      <w:r>
        <w:t xml:space="preserve"> </w:t>
      </w:r>
      <w:r>
        <w:rPr>
          <w:i/>
        </w:rPr>
        <w:t>Id.</w:t>
      </w:r>
    </w:p>
  </w:footnote>
  <w:footnote w:id="4">
    <w:p w:rsidR="0078603E" w:rsidRDefault="0078603E">
      <w:pPr>
        <w:pStyle w:val="FootnoteText"/>
      </w:pPr>
      <w:r>
        <w:rPr>
          <w:rStyle w:val="FootnoteReference"/>
        </w:rPr>
        <w:footnoteRef/>
      </w:r>
      <w:r>
        <w:t xml:space="preserve"> </w:t>
      </w:r>
      <w:r>
        <w:rPr>
          <w:i/>
        </w:rPr>
        <w:t>Id.</w:t>
      </w:r>
      <w:r>
        <w:t>, p.</w:t>
      </w:r>
      <w:r w:rsidR="00726413">
        <w:t xml:space="preserve"> </w:t>
      </w:r>
      <w:r>
        <w:t>2.</w:t>
      </w:r>
    </w:p>
  </w:footnote>
  <w:footnote w:id="5">
    <w:p w:rsidR="0078603E" w:rsidRPr="0078603E" w:rsidRDefault="0078603E">
      <w:pPr>
        <w:pStyle w:val="FootnoteText"/>
        <w:rPr>
          <w:i/>
        </w:rPr>
      </w:pPr>
      <w:r>
        <w:rPr>
          <w:rStyle w:val="FootnoteReference"/>
        </w:rPr>
        <w:footnoteRef/>
      </w:r>
      <w:r>
        <w:t xml:space="preserve"> </w:t>
      </w:r>
      <w:r>
        <w:rPr>
          <w:i/>
        </w:rPr>
        <w:t>Id.</w:t>
      </w:r>
    </w:p>
  </w:footnote>
  <w:footnote w:id="6">
    <w:p w:rsidR="00726413" w:rsidRPr="00726413" w:rsidRDefault="00726413">
      <w:pPr>
        <w:pStyle w:val="FootnoteText"/>
      </w:pPr>
      <w:r>
        <w:rPr>
          <w:rStyle w:val="FootnoteReference"/>
        </w:rPr>
        <w:footnoteRef/>
      </w:r>
      <w:r>
        <w:t xml:space="preserve"> </w:t>
      </w:r>
      <w:proofErr w:type="gramStart"/>
      <w:r>
        <w:rPr>
          <w:i/>
        </w:rPr>
        <w:t xml:space="preserve">Vermont Department of Public Service request for workshop on utility rate regulation, </w:t>
      </w:r>
      <w:r>
        <w:t>Case No. 17-3142-PET, Order Opening Investigation, Request for Comments, and Notice of Workshop.</w:t>
      </w:r>
      <w:proofErr w:type="gramEnd"/>
    </w:p>
  </w:footnote>
  <w:footnote w:id="7">
    <w:p w:rsidR="00726413" w:rsidRPr="00726413" w:rsidRDefault="00726413">
      <w:pPr>
        <w:pStyle w:val="FootnoteText"/>
      </w:pPr>
      <w:r>
        <w:rPr>
          <w:rStyle w:val="FootnoteReference"/>
        </w:rPr>
        <w:footnoteRef/>
      </w:r>
      <w:r>
        <w:t xml:space="preserve"> </w:t>
      </w:r>
      <w:r>
        <w:rPr>
          <w:i/>
        </w:rPr>
        <w:t>Id.</w:t>
      </w:r>
      <w:r>
        <w:t>, p. 2.</w:t>
      </w:r>
    </w:p>
  </w:footnote>
  <w:footnote w:id="8">
    <w:p w:rsidR="00726413" w:rsidRDefault="00726413">
      <w:pPr>
        <w:pStyle w:val="FootnoteText"/>
      </w:pPr>
      <w:r>
        <w:rPr>
          <w:rStyle w:val="FootnoteReference"/>
        </w:rPr>
        <w:footnoteRef/>
      </w:r>
      <w:r>
        <w:t xml:space="preserve"> </w:t>
      </w:r>
      <w:r>
        <w:rPr>
          <w:i/>
        </w:rPr>
        <w:t>Id.</w:t>
      </w:r>
      <w:r>
        <w:t>, p. 2.</w:t>
      </w:r>
    </w:p>
  </w:footnote>
  <w:footnote w:id="9">
    <w:p w:rsidR="00726413" w:rsidRDefault="00726413">
      <w:pPr>
        <w:pStyle w:val="FootnoteText"/>
      </w:pPr>
      <w:r>
        <w:rPr>
          <w:rStyle w:val="FootnoteReference"/>
        </w:rPr>
        <w:footnoteRef/>
      </w:r>
      <w:r>
        <w:t xml:space="preserve"> </w:t>
      </w:r>
      <w:r>
        <w:rPr>
          <w:i/>
        </w:rPr>
        <w:t>Id.</w:t>
      </w:r>
      <w:r>
        <w:t>, p. 2.</w:t>
      </w:r>
    </w:p>
  </w:footnote>
  <w:footnote w:id="10">
    <w:p w:rsidR="00726413" w:rsidRDefault="00726413">
      <w:pPr>
        <w:pStyle w:val="FootnoteText"/>
      </w:pPr>
      <w:r>
        <w:rPr>
          <w:rStyle w:val="FootnoteReference"/>
        </w:rPr>
        <w:footnoteRef/>
      </w:r>
      <w:r>
        <w:t xml:space="preserve"> </w:t>
      </w:r>
      <w:r>
        <w:rPr>
          <w:i/>
        </w:rPr>
        <w:t>Id.</w:t>
      </w:r>
      <w:r>
        <w:t>, p. 2.</w:t>
      </w:r>
    </w:p>
  </w:footnote>
  <w:footnote w:id="11">
    <w:p w:rsidR="00726413" w:rsidRDefault="00726413">
      <w:pPr>
        <w:pStyle w:val="FootnoteText"/>
      </w:pPr>
      <w:r>
        <w:rPr>
          <w:rStyle w:val="FootnoteReference"/>
        </w:rPr>
        <w:footnoteRef/>
      </w:r>
      <w:r>
        <w:t xml:space="preserve"> </w:t>
      </w:r>
      <w:r>
        <w:rPr>
          <w:i/>
        </w:rPr>
        <w:t>Id.</w:t>
      </w:r>
      <w:r>
        <w:t>, p. 2.</w:t>
      </w:r>
    </w:p>
  </w:footnote>
  <w:footnote w:id="12">
    <w:p w:rsidR="00726413" w:rsidRDefault="00726413">
      <w:pPr>
        <w:pStyle w:val="FootnoteText"/>
      </w:pPr>
      <w:r>
        <w:rPr>
          <w:rStyle w:val="FootnoteReference"/>
        </w:rPr>
        <w:footnoteRef/>
      </w:r>
      <w:r>
        <w:t xml:space="preserve"> </w:t>
      </w:r>
      <w:r>
        <w:rPr>
          <w:i/>
        </w:rPr>
        <w:t>Id.</w:t>
      </w:r>
      <w:r>
        <w:t>, p. 2.</w:t>
      </w:r>
    </w:p>
  </w:footnote>
  <w:footnote w:id="13">
    <w:p w:rsidR="00726413" w:rsidRDefault="00726413">
      <w:pPr>
        <w:pStyle w:val="FootnoteText"/>
      </w:pPr>
      <w:r>
        <w:rPr>
          <w:rStyle w:val="FootnoteReference"/>
        </w:rPr>
        <w:footnoteRef/>
      </w:r>
      <w:r>
        <w:t xml:space="preserve"> </w:t>
      </w:r>
      <w:r>
        <w:rPr>
          <w:i/>
        </w:rPr>
        <w:t>Id.</w:t>
      </w:r>
      <w:r>
        <w:t>, p. 2.</w:t>
      </w:r>
    </w:p>
  </w:footnote>
  <w:footnote w:id="14">
    <w:p w:rsidR="00726413" w:rsidRDefault="00726413">
      <w:pPr>
        <w:pStyle w:val="FootnoteText"/>
      </w:pPr>
      <w:r>
        <w:rPr>
          <w:rStyle w:val="FootnoteReference"/>
        </w:rPr>
        <w:footnoteRef/>
      </w:r>
      <w:r>
        <w:t xml:space="preserve"> </w:t>
      </w:r>
      <w:r>
        <w:rPr>
          <w:i/>
        </w:rPr>
        <w:t>Id.</w:t>
      </w:r>
      <w:r>
        <w:t>, pp. 2-3.</w:t>
      </w:r>
    </w:p>
  </w:footnote>
  <w:footnote w:id="15">
    <w:p w:rsidR="00726413" w:rsidRPr="00726413" w:rsidRDefault="00726413">
      <w:pPr>
        <w:pStyle w:val="FootnoteText"/>
      </w:pPr>
      <w:r>
        <w:rPr>
          <w:rStyle w:val="FootnoteReference"/>
        </w:rPr>
        <w:footnoteRef/>
      </w:r>
      <w:r>
        <w:t xml:space="preserve"> </w:t>
      </w:r>
      <w:r>
        <w:rPr>
          <w:i/>
        </w:rPr>
        <w:t>Id.</w:t>
      </w:r>
      <w:r>
        <w:t>, p. 3.</w:t>
      </w:r>
    </w:p>
  </w:footnote>
  <w:footnote w:id="16">
    <w:p w:rsidR="007D20DF" w:rsidRPr="00D519B5" w:rsidRDefault="007D20DF" w:rsidP="007D20DF">
      <w:pPr>
        <w:pStyle w:val="FootnoteText"/>
        <w:rPr>
          <w:rFonts w:ascii="Arial" w:hAnsi="Arial" w:cs="Arial"/>
        </w:rPr>
      </w:pPr>
      <w:r w:rsidRPr="00D519B5">
        <w:rPr>
          <w:rStyle w:val="FootnoteReference"/>
          <w:rFonts w:ascii="Arial" w:hAnsi="Arial" w:cs="Arial"/>
        </w:rPr>
        <w:footnoteRef/>
      </w:r>
      <w:r w:rsidRPr="00D519B5">
        <w:rPr>
          <w:rFonts w:ascii="Arial" w:hAnsi="Arial" w:cs="Arial"/>
        </w:rPr>
        <w:t xml:space="preserve"> http://www.aarp.org/about-aarp/</w:t>
      </w:r>
    </w:p>
  </w:footnote>
  <w:footnote w:id="17">
    <w:p w:rsidR="007D20DF" w:rsidRPr="00D519B5" w:rsidRDefault="007D20DF" w:rsidP="007D20DF">
      <w:pPr>
        <w:pStyle w:val="FootnoteText"/>
        <w:rPr>
          <w:rFonts w:ascii="Arial" w:hAnsi="Arial" w:cs="Arial"/>
        </w:rPr>
      </w:pPr>
      <w:r w:rsidRPr="00D519B5">
        <w:rPr>
          <w:rStyle w:val="FootnoteReference"/>
          <w:rFonts w:ascii="Arial" w:hAnsi="Arial" w:cs="Arial"/>
        </w:rPr>
        <w:footnoteRef/>
      </w:r>
      <w:r w:rsidRPr="00D519B5">
        <w:rPr>
          <w:rFonts w:ascii="Arial" w:hAnsi="Arial" w:cs="Arial"/>
        </w:rPr>
        <w:t xml:space="preserve"> http://web.vermont.org/Family-Household-Resources/AARP-Vermont-1407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2E" w:rsidRDefault="000A572E">
    <w:pPr>
      <w:pStyle w:val="Header"/>
    </w:pPr>
    <w:r>
      <w:rPr>
        <w:noProof/>
      </w:rPr>
      <w:drawing>
        <wp:anchor distT="0" distB="0" distL="114300" distR="114300" simplePos="0" relativeHeight="251659264" behindDoc="1" locked="0" layoutInCell="1" allowOverlap="1" wp14:anchorId="79706808" wp14:editId="0E184F86">
          <wp:simplePos x="0" y="0"/>
          <wp:positionH relativeFrom="page">
            <wp:posOffset>0</wp:posOffset>
          </wp:positionH>
          <wp:positionV relativeFrom="page">
            <wp:posOffset>0</wp:posOffset>
          </wp:positionV>
          <wp:extent cx="7772400" cy="10058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955 RP Letterhead Word States Merged_1.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anchor>
      </w:drawing>
    </w:r>
  </w:p>
  <w:p w:rsidR="000A572E" w:rsidRDefault="000A572E">
    <w:pPr>
      <w:pStyle w:val="Header"/>
    </w:pPr>
  </w:p>
  <w:p w:rsidR="000A572E" w:rsidRDefault="000A572E">
    <w:pPr>
      <w:pStyle w:val="Header"/>
    </w:pPr>
  </w:p>
  <w:p w:rsidR="000A572E" w:rsidRDefault="000A572E">
    <w:pPr>
      <w:pStyle w:val="Header"/>
    </w:pPr>
  </w:p>
  <w:p w:rsidR="000A572E" w:rsidRDefault="000A572E">
    <w:pPr>
      <w:pStyle w:val="Header"/>
    </w:pPr>
  </w:p>
  <w:p w:rsidR="000A572E" w:rsidRDefault="000A572E">
    <w:pPr>
      <w:pStyle w:val="Header"/>
    </w:pPr>
  </w:p>
  <w:p w:rsidR="000A572E" w:rsidRDefault="000A572E">
    <w:pPr>
      <w:pStyle w:val="Header"/>
    </w:pPr>
  </w:p>
  <w:p w:rsidR="000A572E" w:rsidRDefault="000A572E">
    <w:pPr>
      <w:pStyle w:val="Header"/>
    </w:pPr>
  </w:p>
  <w:p w:rsidR="000A572E" w:rsidRDefault="000A57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07167"/>
    <w:multiLevelType w:val="hybridMultilevel"/>
    <w:tmpl w:val="998E6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3193FD7"/>
    <w:multiLevelType w:val="hybridMultilevel"/>
    <w:tmpl w:val="A600F0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F4644D6"/>
    <w:multiLevelType w:val="hybridMultilevel"/>
    <w:tmpl w:val="31B4345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03E6E62"/>
    <w:multiLevelType w:val="hybridMultilevel"/>
    <w:tmpl w:val="09B483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61066CE5"/>
    <w:multiLevelType w:val="hybridMultilevel"/>
    <w:tmpl w:val="C52A5B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955"/>
    <w:rsid w:val="00010500"/>
    <w:rsid w:val="0002252C"/>
    <w:rsid w:val="00025820"/>
    <w:rsid w:val="00027BE9"/>
    <w:rsid w:val="000563E7"/>
    <w:rsid w:val="00061616"/>
    <w:rsid w:val="00085FF8"/>
    <w:rsid w:val="000A572E"/>
    <w:rsid w:val="000B1EC5"/>
    <w:rsid w:val="00101EC2"/>
    <w:rsid w:val="00114F63"/>
    <w:rsid w:val="00145F06"/>
    <w:rsid w:val="0015394F"/>
    <w:rsid w:val="00177035"/>
    <w:rsid w:val="00192026"/>
    <w:rsid w:val="00195C1C"/>
    <w:rsid w:val="001970AA"/>
    <w:rsid w:val="001978BC"/>
    <w:rsid w:val="001B266D"/>
    <w:rsid w:val="001C4426"/>
    <w:rsid w:val="00212DA0"/>
    <w:rsid w:val="002701A3"/>
    <w:rsid w:val="00271ADE"/>
    <w:rsid w:val="002A214C"/>
    <w:rsid w:val="002A47F3"/>
    <w:rsid w:val="002F12CA"/>
    <w:rsid w:val="002F2A18"/>
    <w:rsid w:val="003347E9"/>
    <w:rsid w:val="00337996"/>
    <w:rsid w:val="00341E96"/>
    <w:rsid w:val="0036367C"/>
    <w:rsid w:val="00377A9B"/>
    <w:rsid w:val="003879B9"/>
    <w:rsid w:val="003A6ADA"/>
    <w:rsid w:val="003B672C"/>
    <w:rsid w:val="003E468D"/>
    <w:rsid w:val="003F212A"/>
    <w:rsid w:val="003F5E80"/>
    <w:rsid w:val="00400DA7"/>
    <w:rsid w:val="0042345B"/>
    <w:rsid w:val="00470B37"/>
    <w:rsid w:val="0049618B"/>
    <w:rsid w:val="004A7FB4"/>
    <w:rsid w:val="004C5761"/>
    <w:rsid w:val="004D7059"/>
    <w:rsid w:val="004E43E4"/>
    <w:rsid w:val="00513C66"/>
    <w:rsid w:val="0052278F"/>
    <w:rsid w:val="00526164"/>
    <w:rsid w:val="005268D0"/>
    <w:rsid w:val="00526FF9"/>
    <w:rsid w:val="0054344D"/>
    <w:rsid w:val="005C1FBB"/>
    <w:rsid w:val="005E3744"/>
    <w:rsid w:val="005E5071"/>
    <w:rsid w:val="006032F5"/>
    <w:rsid w:val="00637FEC"/>
    <w:rsid w:val="00655F82"/>
    <w:rsid w:val="00665DE5"/>
    <w:rsid w:val="006709FF"/>
    <w:rsid w:val="0068615D"/>
    <w:rsid w:val="00690324"/>
    <w:rsid w:val="00694B24"/>
    <w:rsid w:val="006E7AD4"/>
    <w:rsid w:val="00706091"/>
    <w:rsid w:val="00722772"/>
    <w:rsid w:val="00726413"/>
    <w:rsid w:val="0078603E"/>
    <w:rsid w:val="00796448"/>
    <w:rsid w:val="007B401C"/>
    <w:rsid w:val="007D1ECC"/>
    <w:rsid w:val="007D20DF"/>
    <w:rsid w:val="007F7E4C"/>
    <w:rsid w:val="00812989"/>
    <w:rsid w:val="00833EC6"/>
    <w:rsid w:val="00841809"/>
    <w:rsid w:val="00853D73"/>
    <w:rsid w:val="00860E40"/>
    <w:rsid w:val="00866CB2"/>
    <w:rsid w:val="008736F9"/>
    <w:rsid w:val="0087416B"/>
    <w:rsid w:val="008813DA"/>
    <w:rsid w:val="008D2439"/>
    <w:rsid w:val="008E75A7"/>
    <w:rsid w:val="009241C2"/>
    <w:rsid w:val="009305DB"/>
    <w:rsid w:val="009463E3"/>
    <w:rsid w:val="009600ED"/>
    <w:rsid w:val="00961604"/>
    <w:rsid w:val="00961E47"/>
    <w:rsid w:val="009D6731"/>
    <w:rsid w:val="009E2985"/>
    <w:rsid w:val="009F3149"/>
    <w:rsid w:val="009F3590"/>
    <w:rsid w:val="009F6324"/>
    <w:rsid w:val="00A162DB"/>
    <w:rsid w:val="00A44133"/>
    <w:rsid w:val="00A71FEF"/>
    <w:rsid w:val="00A90F65"/>
    <w:rsid w:val="00A95796"/>
    <w:rsid w:val="00AA009F"/>
    <w:rsid w:val="00AB18F3"/>
    <w:rsid w:val="00AD4276"/>
    <w:rsid w:val="00B35131"/>
    <w:rsid w:val="00B36029"/>
    <w:rsid w:val="00B362AE"/>
    <w:rsid w:val="00B377EB"/>
    <w:rsid w:val="00B44BB0"/>
    <w:rsid w:val="00B554DA"/>
    <w:rsid w:val="00B647D1"/>
    <w:rsid w:val="00B70504"/>
    <w:rsid w:val="00B93FD4"/>
    <w:rsid w:val="00BA1692"/>
    <w:rsid w:val="00BB73A1"/>
    <w:rsid w:val="00BD6FFD"/>
    <w:rsid w:val="00C132A3"/>
    <w:rsid w:val="00C169C2"/>
    <w:rsid w:val="00C17C85"/>
    <w:rsid w:val="00C22AA6"/>
    <w:rsid w:val="00C32C75"/>
    <w:rsid w:val="00C36722"/>
    <w:rsid w:val="00C4377A"/>
    <w:rsid w:val="00C70D08"/>
    <w:rsid w:val="00C76532"/>
    <w:rsid w:val="00C76725"/>
    <w:rsid w:val="00C814AE"/>
    <w:rsid w:val="00CA2236"/>
    <w:rsid w:val="00CC32A6"/>
    <w:rsid w:val="00CE1B30"/>
    <w:rsid w:val="00CE5BB6"/>
    <w:rsid w:val="00D24A7D"/>
    <w:rsid w:val="00D90588"/>
    <w:rsid w:val="00DC5F35"/>
    <w:rsid w:val="00DD472E"/>
    <w:rsid w:val="00DF1811"/>
    <w:rsid w:val="00E067FE"/>
    <w:rsid w:val="00E22955"/>
    <w:rsid w:val="00E46A9D"/>
    <w:rsid w:val="00E5649A"/>
    <w:rsid w:val="00E72FFE"/>
    <w:rsid w:val="00E760CF"/>
    <w:rsid w:val="00E95C8B"/>
    <w:rsid w:val="00EC230D"/>
    <w:rsid w:val="00EC780A"/>
    <w:rsid w:val="00EC7BAE"/>
    <w:rsid w:val="00EE541C"/>
    <w:rsid w:val="00F07F1E"/>
    <w:rsid w:val="00F13196"/>
    <w:rsid w:val="00F21BEF"/>
    <w:rsid w:val="00F24AE7"/>
    <w:rsid w:val="00F74633"/>
    <w:rsid w:val="00F76B2F"/>
    <w:rsid w:val="00F815BE"/>
    <w:rsid w:val="00FB243B"/>
    <w:rsid w:val="00FD596A"/>
    <w:rsid w:val="00FF63B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955"/>
    <w:pPr>
      <w:tabs>
        <w:tab w:val="center" w:pos="4320"/>
        <w:tab w:val="right" w:pos="8640"/>
      </w:tabs>
    </w:pPr>
  </w:style>
  <w:style w:type="character" w:customStyle="1" w:styleId="HeaderChar">
    <w:name w:val="Header Char"/>
    <w:basedOn w:val="DefaultParagraphFont"/>
    <w:link w:val="Header"/>
    <w:uiPriority w:val="99"/>
    <w:rsid w:val="00E22955"/>
  </w:style>
  <w:style w:type="paragraph" w:styleId="Footer">
    <w:name w:val="footer"/>
    <w:basedOn w:val="Normal"/>
    <w:link w:val="FooterChar"/>
    <w:uiPriority w:val="99"/>
    <w:unhideWhenUsed/>
    <w:rsid w:val="00E22955"/>
    <w:pPr>
      <w:tabs>
        <w:tab w:val="center" w:pos="4320"/>
        <w:tab w:val="right" w:pos="8640"/>
      </w:tabs>
    </w:pPr>
  </w:style>
  <w:style w:type="character" w:customStyle="1" w:styleId="FooterChar">
    <w:name w:val="Footer Char"/>
    <w:basedOn w:val="DefaultParagraphFont"/>
    <w:link w:val="Footer"/>
    <w:uiPriority w:val="99"/>
    <w:rsid w:val="00E22955"/>
  </w:style>
  <w:style w:type="paragraph" w:styleId="ListParagraph">
    <w:name w:val="List Paragraph"/>
    <w:basedOn w:val="Normal"/>
    <w:uiPriority w:val="34"/>
    <w:qFormat/>
    <w:rsid w:val="007D20DF"/>
    <w:pPr>
      <w:spacing w:after="200" w:line="276" w:lineRule="auto"/>
      <w:ind w:left="720"/>
      <w:contextualSpacing/>
    </w:pPr>
    <w:rPr>
      <w:rFonts w:eastAsiaTheme="minorHAnsi"/>
      <w:sz w:val="22"/>
      <w:szCs w:val="22"/>
    </w:rPr>
  </w:style>
  <w:style w:type="paragraph" w:styleId="FootnoteText">
    <w:name w:val="footnote text"/>
    <w:basedOn w:val="Normal"/>
    <w:link w:val="FootnoteTextChar"/>
    <w:uiPriority w:val="99"/>
    <w:semiHidden/>
    <w:unhideWhenUsed/>
    <w:rsid w:val="007D20DF"/>
    <w:rPr>
      <w:rFonts w:eastAsiaTheme="minorHAnsi"/>
      <w:sz w:val="20"/>
      <w:szCs w:val="20"/>
    </w:rPr>
  </w:style>
  <w:style w:type="character" w:customStyle="1" w:styleId="FootnoteTextChar">
    <w:name w:val="Footnote Text Char"/>
    <w:basedOn w:val="DefaultParagraphFont"/>
    <w:link w:val="FootnoteText"/>
    <w:uiPriority w:val="99"/>
    <w:semiHidden/>
    <w:rsid w:val="007D20DF"/>
    <w:rPr>
      <w:rFonts w:eastAsiaTheme="minorHAnsi"/>
      <w:sz w:val="20"/>
      <w:szCs w:val="20"/>
    </w:rPr>
  </w:style>
  <w:style w:type="character" w:styleId="FootnoteReference">
    <w:name w:val="footnote reference"/>
    <w:basedOn w:val="DefaultParagraphFont"/>
    <w:uiPriority w:val="99"/>
    <w:semiHidden/>
    <w:unhideWhenUsed/>
    <w:rsid w:val="007D20DF"/>
    <w:rPr>
      <w:vertAlign w:val="superscript"/>
    </w:rPr>
  </w:style>
  <w:style w:type="paragraph" w:styleId="CommentText">
    <w:name w:val="annotation text"/>
    <w:basedOn w:val="Normal"/>
    <w:link w:val="CommentTextChar"/>
    <w:uiPriority w:val="99"/>
    <w:semiHidden/>
    <w:unhideWhenUsed/>
    <w:rsid w:val="007D20DF"/>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7D20DF"/>
    <w:rPr>
      <w:rFonts w:eastAsiaTheme="minorHAnsi"/>
      <w:sz w:val="20"/>
      <w:szCs w:val="20"/>
    </w:rPr>
  </w:style>
  <w:style w:type="paragraph" w:styleId="BalloonText">
    <w:name w:val="Balloon Text"/>
    <w:basedOn w:val="Normal"/>
    <w:link w:val="BalloonTextChar"/>
    <w:uiPriority w:val="99"/>
    <w:semiHidden/>
    <w:unhideWhenUsed/>
    <w:rsid w:val="00F24AE7"/>
    <w:rPr>
      <w:rFonts w:ascii="Tahoma" w:hAnsi="Tahoma" w:cs="Tahoma"/>
      <w:sz w:val="16"/>
      <w:szCs w:val="16"/>
    </w:rPr>
  </w:style>
  <w:style w:type="character" w:customStyle="1" w:styleId="BalloonTextChar">
    <w:name w:val="Balloon Text Char"/>
    <w:basedOn w:val="DefaultParagraphFont"/>
    <w:link w:val="BalloonText"/>
    <w:uiPriority w:val="99"/>
    <w:semiHidden/>
    <w:rsid w:val="00F24A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955"/>
    <w:pPr>
      <w:tabs>
        <w:tab w:val="center" w:pos="4320"/>
        <w:tab w:val="right" w:pos="8640"/>
      </w:tabs>
    </w:pPr>
  </w:style>
  <w:style w:type="character" w:customStyle="1" w:styleId="HeaderChar">
    <w:name w:val="Header Char"/>
    <w:basedOn w:val="DefaultParagraphFont"/>
    <w:link w:val="Header"/>
    <w:uiPriority w:val="99"/>
    <w:rsid w:val="00E22955"/>
  </w:style>
  <w:style w:type="paragraph" w:styleId="Footer">
    <w:name w:val="footer"/>
    <w:basedOn w:val="Normal"/>
    <w:link w:val="FooterChar"/>
    <w:uiPriority w:val="99"/>
    <w:unhideWhenUsed/>
    <w:rsid w:val="00E22955"/>
    <w:pPr>
      <w:tabs>
        <w:tab w:val="center" w:pos="4320"/>
        <w:tab w:val="right" w:pos="8640"/>
      </w:tabs>
    </w:pPr>
  </w:style>
  <w:style w:type="character" w:customStyle="1" w:styleId="FooterChar">
    <w:name w:val="Footer Char"/>
    <w:basedOn w:val="DefaultParagraphFont"/>
    <w:link w:val="Footer"/>
    <w:uiPriority w:val="99"/>
    <w:rsid w:val="00E22955"/>
  </w:style>
  <w:style w:type="paragraph" w:styleId="ListParagraph">
    <w:name w:val="List Paragraph"/>
    <w:basedOn w:val="Normal"/>
    <w:uiPriority w:val="34"/>
    <w:qFormat/>
    <w:rsid w:val="007D20DF"/>
    <w:pPr>
      <w:spacing w:after="200" w:line="276" w:lineRule="auto"/>
      <w:ind w:left="720"/>
      <w:contextualSpacing/>
    </w:pPr>
    <w:rPr>
      <w:rFonts w:eastAsiaTheme="minorHAnsi"/>
      <w:sz w:val="22"/>
      <w:szCs w:val="22"/>
    </w:rPr>
  </w:style>
  <w:style w:type="paragraph" w:styleId="FootnoteText">
    <w:name w:val="footnote text"/>
    <w:basedOn w:val="Normal"/>
    <w:link w:val="FootnoteTextChar"/>
    <w:uiPriority w:val="99"/>
    <w:semiHidden/>
    <w:unhideWhenUsed/>
    <w:rsid w:val="007D20DF"/>
    <w:rPr>
      <w:rFonts w:eastAsiaTheme="minorHAnsi"/>
      <w:sz w:val="20"/>
      <w:szCs w:val="20"/>
    </w:rPr>
  </w:style>
  <w:style w:type="character" w:customStyle="1" w:styleId="FootnoteTextChar">
    <w:name w:val="Footnote Text Char"/>
    <w:basedOn w:val="DefaultParagraphFont"/>
    <w:link w:val="FootnoteText"/>
    <w:uiPriority w:val="99"/>
    <w:semiHidden/>
    <w:rsid w:val="007D20DF"/>
    <w:rPr>
      <w:rFonts w:eastAsiaTheme="minorHAnsi"/>
      <w:sz w:val="20"/>
      <w:szCs w:val="20"/>
    </w:rPr>
  </w:style>
  <w:style w:type="character" w:styleId="FootnoteReference">
    <w:name w:val="footnote reference"/>
    <w:basedOn w:val="DefaultParagraphFont"/>
    <w:uiPriority w:val="99"/>
    <w:semiHidden/>
    <w:unhideWhenUsed/>
    <w:rsid w:val="007D20DF"/>
    <w:rPr>
      <w:vertAlign w:val="superscript"/>
    </w:rPr>
  </w:style>
  <w:style w:type="paragraph" w:styleId="CommentText">
    <w:name w:val="annotation text"/>
    <w:basedOn w:val="Normal"/>
    <w:link w:val="CommentTextChar"/>
    <w:uiPriority w:val="99"/>
    <w:semiHidden/>
    <w:unhideWhenUsed/>
    <w:rsid w:val="007D20DF"/>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7D20DF"/>
    <w:rPr>
      <w:rFonts w:eastAsiaTheme="minorHAnsi"/>
      <w:sz w:val="20"/>
      <w:szCs w:val="20"/>
    </w:rPr>
  </w:style>
  <w:style w:type="paragraph" w:styleId="BalloonText">
    <w:name w:val="Balloon Text"/>
    <w:basedOn w:val="Normal"/>
    <w:link w:val="BalloonTextChar"/>
    <w:uiPriority w:val="99"/>
    <w:semiHidden/>
    <w:unhideWhenUsed/>
    <w:rsid w:val="00F24AE7"/>
    <w:rPr>
      <w:rFonts w:ascii="Tahoma" w:hAnsi="Tahoma" w:cs="Tahoma"/>
      <w:sz w:val="16"/>
      <w:szCs w:val="16"/>
    </w:rPr>
  </w:style>
  <w:style w:type="character" w:customStyle="1" w:styleId="BalloonTextChar">
    <w:name w:val="Balloon Text Char"/>
    <w:basedOn w:val="DefaultParagraphFont"/>
    <w:link w:val="BalloonText"/>
    <w:uiPriority w:val="99"/>
    <w:semiHidden/>
    <w:rsid w:val="00F24A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3932DA2CD9E749BC1BA5FCAB37D032" ma:contentTypeVersion="0" ma:contentTypeDescription="Create a new document." ma:contentTypeScope="" ma:versionID="76649d323f27e9b2577f729ee46f6aa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4CD7E-5BE4-4E51-B7F5-9B8618E26EAA}">
  <ds:schemaRefs>
    <ds:schemaRef ds:uri="http://schemas.microsoft.com/office/2006/metadata/properties"/>
  </ds:schemaRefs>
</ds:datastoreItem>
</file>

<file path=customXml/itemProps2.xml><?xml version="1.0" encoding="utf-8"?>
<ds:datastoreItem xmlns:ds="http://schemas.openxmlformats.org/officeDocument/2006/customXml" ds:itemID="{A0AB5B3D-8CFB-4980-8A43-20D5ED433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B133FEA-410D-4C7B-9231-F4B583583300}">
  <ds:schemaRefs>
    <ds:schemaRef ds:uri="http://schemas.microsoft.com/sharepoint/v3/contenttype/forms"/>
  </ds:schemaRefs>
</ds:datastoreItem>
</file>

<file path=customXml/itemProps4.xml><?xml version="1.0" encoding="utf-8"?>
<ds:datastoreItem xmlns:ds="http://schemas.openxmlformats.org/officeDocument/2006/customXml" ds:itemID="{3F281E0E-C817-4B67-92EC-7F9B07492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1459</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AARP</Company>
  <LinksUpToDate>false</LinksUpToDate>
  <CharactersWithSpaces>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Rosser</dc:creator>
  <cp:lastModifiedBy>Taormina, Philene</cp:lastModifiedBy>
  <cp:revision>4</cp:revision>
  <cp:lastPrinted>2017-07-12T17:53:00Z</cp:lastPrinted>
  <dcterms:created xsi:type="dcterms:W3CDTF">2017-07-14T16:01:00Z</dcterms:created>
  <dcterms:modified xsi:type="dcterms:W3CDTF">2017-07-14T16:21:00Z</dcterms:modified>
</cp:coreProperties>
</file>